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2EF" w:rsidRDefault="00AA22EF" w:rsidP="00AA22EF">
      <w:pPr>
        <w:pStyle w:val="Intestazione"/>
      </w:pPr>
    </w:p>
    <w:tbl>
      <w:tblPr>
        <w:tblW w:w="5496"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1"/>
        <w:gridCol w:w="5581"/>
        <w:gridCol w:w="2450"/>
      </w:tblGrid>
      <w:tr w:rsidR="00AA22EF" w:rsidTr="00056007">
        <w:trPr>
          <w:cantSplit/>
          <w:trHeight w:val="1551"/>
        </w:trPr>
        <w:tc>
          <w:tcPr>
            <w:tcW w:w="1293" w:type="pct"/>
            <w:vMerge w:val="restart"/>
          </w:tcPr>
          <w:p w:rsidR="00AA22EF" w:rsidRDefault="00AA22EF" w:rsidP="00056007">
            <w:pPr>
              <w:pStyle w:val="Intestazione"/>
              <w:ind w:right="360"/>
            </w:pPr>
            <w:r>
              <w:rPr>
                <w:noProof/>
              </w:rPr>
              <w:drawing>
                <wp:anchor distT="0" distB="0" distL="114300" distR="114300" simplePos="0" relativeHeight="251660288" behindDoc="0" locked="0" layoutInCell="1" allowOverlap="1">
                  <wp:simplePos x="0" y="0"/>
                  <wp:positionH relativeFrom="column">
                    <wp:posOffset>342900</wp:posOffset>
                  </wp:positionH>
                  <wp:positionV relativeFrom="paragraph">
                    <wp:posOffset>152400</wp:posOffset>
                  </wp:positionV>
                  <wp:extent cx="669290" cy="668020"/>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669290" cy="668020"/>
                          </a:xfrm>
                          <a:prstGeom prst="rect">
                            <a:avLst/>
                          </a:prstGeom>
                          <a:noFill/>
                          <a:ln w="9525">
                            <a:noFill/>
                            <a:miter lim="800000"/>
                            <a:headEnd/>
                            <a:tailEnd/>
                          </a:ln>
                        </pic:spPr>
                      </pic:pic>
                    </a:graphicData>
                  </a:graphic>
                </wp:anchor>
              </w:drawing>
            </w:r>
          </w:p>
          <w:p w:rsidR="00AA22EF" w:rsidRDefault="00AA22EF" w:rsidP="00056007">
            <w:pPr>
              <w:pStyle w:val="Intestazione"/>
            </w:pPr>
          </w:p>
          <w:p w:rsidR="00AA22EF" w:rsidRDefault="00AA22EF" w:rsidP="00056007">
            <w:pPr>
              <w:pStyle w:val="Intestazione"/>
            </w:pPr>
          </w:p>
          <w:p w:rsidR="00AA22EF" w:rsidRDefault="00AA22EF" w:rsidP="00056007">
            <w:pPr>
              <w:pStyle w:val="Intestazione"/>
            </w:pPr>
          </w:p>
          <w:p w:rsidR="00AA22EF" w:rsidRDefault="00AA22EF" w:rsidP="00056007">
            <w:pPr>
              <w:pStyle w:val="Intestazione"/>
            </w:pPr>
          </w:p>
          <w:p w:rsidR="00AA22EF" w:rsidRDefault="00AA22EF" w:rsidP="00056007">
            <w:pPr>
              <w:pStyle w:val="Intestazione"/>
              <w:jc w:val="center"/>
            </w:pPr>
          </w:p>
          <w:p w:rsidR="00AA22EF" w:rsidRPr="0087794D" w:rsidRDefault="00AA22EF" w:rsidP="00056007">
            <w:pPr>
              <w:pStyle w:val="Intestazione"/>
              <w:jc w:val="center"/>
              <w:rPr>
                <w:sz w:val="16"/>
                <w:szCs w:val="16"/>
              </w:rPr>
            </w:pPr>
            <w:r w:rsidRPr="0087794D">
              <w:rPr>
                <w:sz w:val="16"/>
                <w:szCs w:val="16"/>
              </w:rPr>
              <w:t>Ministero dell’Istruzione, dell’Università, della Ricerca</w:t>
            </w:r>
          </w:p>
          <w:p w:rsidR="00AA22EF" w:rsidRPr="0087794D" w:rsidRDefault="00AA22EF" w:rsidP="00056007">
            <w:pPr>
              <w:pStyle w:val="Intestazione"/>
              <w:jc w:val="center"/>
              <w:rPr>
                <w:sz w:val="16"/>
                <w:szCs w:val="16"/>
              </w:rPr>
            </w:pPr>
            <w:proofErr w:type="spellStart"/>
            <w:r w:rsidRPr="0087794D">
              <w:rPr>
                <w:sz w:val="16"/>
                <w:szCs w:val="16"/>
              </w:rPr>
              <w:t>U.S.R.</w:t>
            </w:r>
            <w:proofErr w:type="spellEnd"/>
            <w:r w:rsidRPr="0087794D">
              <w:rPr>
                <w:sz w:val="16"/>
                <w:szCs w:val="16"/>
              </w:rPr>
              <w:t xml:space="preserve"> per la Campania</w:t>
            </w:r>
          </w:p>
          <w:p w:rsidR="00AA22EF" w:rsidRDefault="00AA22EF" w:rsidP="00056007">
            <w:pPr>
              <w:pStyle w:val="Intestazione"/>
              <w:jc w:val="center"/>
            </w:pPr>
            <w:r w:rsidRPr="0087794D">
              <w:rPr>
                <w:sz w:val="16"/>
                <w:szCs w:val="16"/>
              </w:rPr>
              <w:t>Direzione Generale</w:t>
            </w:r>
          </w:p>
        </w:tc>
        <w:tc>
          <w:tcPr>
            <w:tcW w:w="2576" w:type="pct"/>
          </w:tcPr>
          <w:p w:rsidR="00AA22EF" w:rsidRPr="0087794D" w:rsidRDefault="00AA22EF" w:rsidP="00056007">
            <w:pPr>
              <w:rPr>
                <w:b/>
                <w:sz w:val="16"/>
                <w:szCs w:val="16"/>
              </w:rPr>
            </w:pPr>
          </w:p>
          <w:p w:rsidR="00AA22EF" w:rsidRPr="00CE07A5" w:rsidRDefault="00AA22EF" w:rsidP="00056007">
            <w:pPr>
              <w:pStyle w:val="Corpodeltesto"/>
              <w:jc w:val="center"/>
              <w:rPr>
                <w:b/>
                <w:sz w:val="16"/>
                <w:szCs w:val="16"/>
              </w:rPr>
            </w:pPr>
            <w:r w:rsidRPr="00CE07A5">
              <w:rPr>
                <w:b/>
                <w:sz w:val="16"/>
                <w:szCs w:val="16"/>
              </w:rPr>
              <w:t>ISTITUTO TECNICO INDUSTRIALE</w:t>
            </w:r>
          </w:p>
          <w:p w:rsidR="00AA22EF" w:rsidRDefault="00AA22EF" w:rsidP="00056007">
            <w:pPr>
              <w:pStyle w:val="Corpodeltesto"/>
              <w:jc w:val="center"/>
              <w:rPr>
                <w:sz w:val="16"/>
                <w:szCs w:val="16"/>
              </w:rPr>
            </w:pPr>
            <w:r w:rsidRPr="00C208F3">
              <w:rPr>
                <w:sz w:val="16"/>
                <w:szCs w:val="16"/>
              </w:rPr>
              <w:t xml:space="preserve">LICEO SCIENTIFICO </w:t>
            </w:r>
            <w:r>
              <w:rPr>
                <w:sz w:val="16"/>
                <w:szCs w:val="16"/>
              </w:rPr>
              <w:t>opzione SCIENZE APPLICATE</w:t>
            </w:r>
          </w:p>
          <w:p w:rsidR="00AA22EF" w:rsidRPr="00C208F3" w:rsidRDefault="00AA22EF" w:rsidP="00056007">
            <w:pPr>
              <w:pStyle w:val="Corpodeltesto"/>
              <w:jc w:val="center"/>
              <w:rPr>
                <w:b/>
                <w:sz w:val="16"/>
                <w:szCs w:val="16"/>
              </w:rPr>
            </w:pPr>
            <w:r>
              <w:rPr>
                <w:sz w:val="16"/>
                <w:szCs w:val="16"/>
              </w:rPr>
              <w:t>“FRANCESCO  GIORDANI”</w:t>
            </w:r>
          </w:p>
          <w:p w:rsidR="00AA22EF" w:rsidRPr="00EE283B" w:rsidRDefault="00AA22EF" w:rsidP="00056007">
            <w:pPr>
              <w:jc w:val="center"/>
              <w:rPr>
                <w:sz w:val="16"/>
                <w:szCs w:val="16"/>
              </w:rPr>
            </w:pPr>
            <w:r w:rsidRPr="00EE283B">
              <w:rPr>
                <w:sz w:val="16"/>
                <w:szCs w:val="16"/>
              </w:rPr>
              <w:t xml:space="preserve">Via </w:t>
            </w:r>
            <w:proofErr w:type="spellStart"/>
            <w:r w:rsidRPr="00EE283B">
              <w:rPr>
                <w:sz w:val="16"/>
                <w:szCs w:val="16"/>
              </w:rPr>
              <w:t>Laviano</w:t>
            </w:r>
            <w:proofErr w:type="spellEnd"/>
            <w:r w:rsidRPr="00EE283B">
              <w:rPr>
                <w:sz w:val="16"/>
                <w:szCs w:val="16"/>
              </w:rPr>
              <w:t xml:space="preserve"> n°18</w:t>
            </w:r>
          </w:p>
          <w:p w:rsidR="00AA22EF" w:rsidRPr="00C208F3" w:rsidRDefault="00AA22EF" w:rsidP="00056007">
            <w:pPr>
              <w:jc w:val="center"/>
              <w:rPr>
                <w:sz w:val="16"/>
                <w:szCs w:val="16"/>
                <w:lang w:val="en-US"/>
              </w:rPr>
            </w:pPr>
            <w:r>
              <w:rPr>
                <w:sz w:val="16"/>
                <w:szCs w:val="16"/>
                <w:lang w:val="en-US"/>
              </w:rPr>
              <w:t>Caserta</w:t>
            </w:r>
          </w:p>
        </w:tc>
        <w:tc>
          <w:tcPr>
            <w:tcW w:w="1131" w:type="pct"/>
            <w:vMerge w:val="restart"/>
          </w:tcPr>
          <w:p w:rsidR="00AA22EF" w:rsidRPr="00EE283B" w:rsidRDefault="00AA22EF" w:rsidP="00056007">
            <w:pPr>
              <w:pStyle w:val="Intestazione"/>
              <w:rPr>
                <w:sz w:val="16"/>
                <w:szCs w:val="16"/>
              </w:rPr>
            </w:pPr>
          </w:p>
          <w:p w:rsidR="00AA22EF" w:rsidRDefault="00AA22EF" w:rsidP="00056007">
            <w:pPr>
              <w:pStyle w:val="Intestazione"/>
              <w:jc w:val="center"/>
              <w:rPr>
                <w:b/>
                <w:sz w:val="18"/>
                <w:szCs w:val="18"/>
              </w:rPr>
            </w:pPr>
            <w:r w:rsidRPr="00342295">
              <w:rPr>
                <w:b/>
                <w:sz w:val="18"/>
                <w:szCs w:val="18"/>
              </w:rPr>
              <w:t>MANUALE DELLA QUALITA’</w:t>
            </w:r>
          </w:p>
          <w:p w:rsidR="00AA22EF" w:rsidRPr="00C208F3" w:rsidRDefault="00AA22EF" w:rsidP="00056007">
            <w:pPr>
              <w:pStyle w:val="Intestazione"/>
              <w:jc w:val="center"/>
              <w:rPr>
                <w:rFonts w:ascii="Arial" w:hAnsi="Arial"/>
                <w:sz w:val="14"/>
                <w:szCs w:val="14"/>
              </w:rPr>
            </w:pPr>
            <w:r w:rsidRPr="00C208F3">
              <w:rPr>
                <w:rFonts w:ascii="Arial" w:hAnsi="Arial"/>
                <w:sz w:val="14"/>
                <w:szCs w:val="14"/>
              </w:rPr>
              <w:t xml:space="preserve"> ISO 9004:2009</w:t>
            </w:r>
          </w:p>
          <w:p w:rsidR="00AA22EF" w:rsidRPr="00EE283B" w:rsidRDefault="00AA22EF" w:rsidP="00056007">
            <w:pPr>
              <w:pStyle w:val="Intestazione"/>
              <w:rPr>
                <w:sz w:val="16"/>
                <w:szCs w:val="16"/>
              </w:rPr>
            </w:pPr>
            <w:r>
              <w:rPr>
                <w:noProof/>
                <w:sz w:val="16"/>
                <w:szCs w:val="16"/>
              </w:rPr>
              <w:drawing>
                <wp:anchor distT="0" distB="0" distL="114300" distR="114300" simplePos="0" relativeHeight="251661312" behindDoc="0" locked="0" layoutInCell="1" allowOverlap="1">
                  <wp:simplePos x="0" y="0"/>
                  <wp:positionH relativeFrom="column">
                    <wp:posOffset>382905</wp:posOffset>
                  </wp:positionH>
                  <wp:positionV relativeFrom="paragraph">
                    <wp:posOffset>42545</wp:posOffset>
                  </wp:positionV>
                  <wp:extent cx="659765" cy="777875"/>
                  <wp:effectExtent l="19050" t="0" r="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cstate="print"/>
                          <a:srcRect/>
                          <a:stretch>
                            <a:fillRect/>
                          </a:stretch>
                        </pic:blipFill>
                        <pic:spPr bwMode="auto">
                          <a:xfrm>
                            <a:off x="0" y="0"/>
                            <a:ext cx="659765" cy="777875"/>
                          </a:xfrm>
                          <a:prstGeom prst="rect">
                            <a:avLst/>
                          </a:prstGeom>
                          <a:noFill/>
                          <a:ln w="9525">
                            <a:noFill/>
                            <a:miter lim="800000"/>
                            <a:headEnd/>
                            <a:tailEnd/>
                          </a:ln>
                        </pic:spPr>
                      </pic:pic>
                    </a:graphicData>
                  </a:graphic>
                </wp:anchor>
              </w:drawing>
            </w:r>
          </w:p>
          <w:p w:rsidR="00AA22EF" w:rsidRPr="00EE283B" w:rsidRDefault="00AA22EF" w:rsidP="00056007">
            <w:pPr>
              <w:pStyle w:val="Intestazione"/>
              <w:rPr>
                <w:sz w:val="16"/>
                <w:szCs w:val="16"/>
              </w:rPr>
            </w:pPr>
          </w:p>
          <w:p w:rsidR="00AA22EF" w:rsidRPr="00EE283B" w:rsidRDefault="00AA22EF" w:rsidP="00056007">
            <w:pPr>
              <w:pStyle w:val="Intestazione"/>
              <w:rPr>
                <w:sz w:val="16"/>
                <w:szCs w:val="16"/>
              </w:rPr>
            </w:pPr>
          </w:p>
          <w:p w:rsidR="00AA22EF" w:rsidRPr="00EE283B" w:rsidRDefault="00AA22EF" w:rsidP="00056007">
            <w:pPr>
              <w:pStyle w:val="Intestazione"/>
              <w:rPr>
                <w:sz w:val="16"/>
                <w:szCs w:val="16"/>
              </w:rPr>
            </w:pPr>
          </w:p>
          <w:p w:rsidR="00AA22EF" w:rsidRPr="00EE283B" w:rsidRDefault="00AA22EF" w:rsidP="00056007">
            <w:pPr>
              <w:pStyle w:val="Intestazione"/>
              <w:rPr>
                <w:sz w:val="16"/>
                <w:szCs w:val="16"/>
              </w:rPr>
            </w:pPr>
          </w:p>
          <w:p w:rsidR="00AA22EF" w:rsidRPr="00EE283B" w:rsidRDefault="00AA22EF" w:rsidP="00056007">
            <w:pPr>
              <w:pStyle w:val="Intestazione"/>
              <w:rPr>
                <w:sz w:val="16"/>
                <w:szCs w:val="16"/>
              </w:rPr>
            </w:pPr>
          </w:p>
          <w:p w:rsidR="00AA22EF" w:rsidRDefault="00AA22EF" w:rsidP="00056007">
            <w:pPr>
              <w:pStyle w:val="Intestazione"/>
              <w:rPr>
                <w:sz w:val="16"/>
                <w:szCs w:val="16"/>
              </w:rPr>
            </w:pPr>
          </w:p>
          <w:p w:rsidR="00AA22EF" w:rsidRPr="0087794D" w:rsidRDefault="00AA22EF" w:rsidP="00056007">
            <w:pPr>
              <w:pStyle w:val="Intestazione"/>
              <w:jc w:val="center"/>
              <w:rPr>
                <w:sz w:val="16"/>
                <w:szCs w:val="16"/>
              </w:rPr>
            </w:pPr>
            <w:r w:rsidRPr="0087794D">
              <w:rPr>
                <w:sz w:val="16"/>
                <w:szCs w:val="16"/>
              </w:rPr>
              <w:t xml:space="preserve">Polo Qualità </w:t>
            </w:r>
          </w:p>
          <w:p w:rsidR="00AA22EF" w:rsidRPr="0087794D" w:rsidRDefault="00AA22EF" w:rsidP="00056007">
            <w:pPr>
              <w:pStyle w:val="Intestazione"/>
              <w:jc w:val="center"/>
              <w:rPr>
                <w:sz w:val="16"/>
                <w:szCs w:val="16"/>
              </w:rPr>
            </w:pPr>
            <w:r w:rsidRPr="0087794D">
              <w:rPr>
                <w:sz w:val="16"/>
                <w:szCs w:val="16"/>
              </w:rPr>
              <w:t>Di Napoli</w:t>
            </w:r>
          </w:p>
        </w:tc>
      </w:tr>
      <w:tr w:rsidR="00AA22EF" w:rsidRPr="00342295" w:rsidTr="00056007">
        <w:trPr>
          <w:cantSplit/>
          <w:trHeight w:val="321"/>
        </w:trPr>
        <w:tc>
          <w:tcPr>
            <w:tcW w:w="1293" w:type="pct"/>
            <w:vMerge/>
          </w:tcPr>
          <w:p w:rsidR="00AA22EF" w:rsidRPr="00342295" w:rsidRDefault="00AA22EF" w:rsidP="00056007">
            <w:pPr>
              <w:pStyle w:val="Intestazione"/>
              <w:rPr>
                <w:sz w:val="18"/>
                <w:szCs w:val="18"/>
              </w:rPr>
            </w:pPr>
          </w:p>
        </w:tc>
        <w:tc>
          <w:tcPr>
            <w:tcW w:w="2576" w:type="pct"/>
          </w:tcPr>
          <w:p w:rsidR="00AA22EF" w:rsidRDefault="00AA22EF" w:rsidP="00056007">
            <w:pPr>
              <w:pStyle w:val="Intestazione"/>
              <w:jc w:val="center"/>
            </w:pPr>
            <w:r>
              <w:t xml:space="preserve">PROCEDURA </w:t>
            </w:r>
            <w:proofErr w:type="spellStart"/>
            <w:r>
              <w:t>DI</w:t>
            </w:r>
            <w:proofErr w:type="spellEnd"/>
            <w:r>
              <w:t xml:space="preserve"> SISTEMA</w:t>
            </w:r>
          </w:p>
          <w:p w:rsidR="00AA22EF" w:rsidRPr="00EE283B" w:rsidRDefault="00AA22EF" w:rsidP="00056007">
            <w:pPr>
              <w:jc w:val="center"/>
              <w:rPr>
                <w:b/>
                <w:u w:val="single" w:color="6600FF"/>
              </w:rPr>
            </w:pPr>
            <w:r>
              <w:rPr>
                <w:b/>
                <w:u w:val="single" w:color="6600FF"/>
              </w:rPr>
              <w:t>GESTIONE E ORGANIZZAZIONE DELLE REGISTRAZIONI</w:t>
            </w:r>
          </w:p>
          <w:p w:rsidR="00AA22EF" w:rsidRPr="00A55D2F" w:rsidRDefault="00AA22EF" w:rsidP="00056007">
            <w:pPr>
              <w:pStyle w:val="Intestazione"/>
              <w:jc w:val="center"/>
              <w:rPr>
                <w:sz w:val="24"/>
                <w:szCs w:val="24"/>
              </w:rPr>
            </w:pPr>
          </w:p>
        </w:tc>
        <w:tc>
          <w:tcPr>
            <w:tcW w:w="1131" w:type="pct"/>
            <w:vMerge/>
          </w:tcPr>
          <w:p w:rsidR="00AA22EF" w:rsidRPr="00342295" w:rsidRDefault="00AA22EF" w:rsidP="00056007">
            <w:pPr>
              <w:pStyle w:val="Intestazione"/>
              <w:rPr>
                <w:sz w:val="18"/>
                <w:szCs w:val="18"/>
              </w:rPr>
            </w:pPr>
          </w:p>
        </w:tc>
      </w:tr>
    </w:tbl>
    <w:p w:rsidR="00AA22EF" w:rsidRDefault="00AA22EF" w:rsidP="00AA22EF">
      <w:pPr>
        <w:pStyle w:val="Intestazione"/>
      </w:pPr>
    </w:p>
    <w:p w:rsidR="00AA22EF" w:rsidRDefault="00AA22EF" w:rsidP="00AA22EF">
      <w:pPr>
        <w:pStyle w:val="Intestazione"/>
      </w:pPr>
    </w:p>
    <w:p w:rsidR="00AA22EF" w:rsidRDefault="00AA22EF" w:rsidP="00AA22EF">
      <w:pPr>
        <w:pStyle w:val="P"/>
        <w:spacing w:line="240" w:lineRule="exact"/>
        <w:rPr>
          <w:rFonts w:ascii="Times New Roman" w:hAnsi="Times New Roman"/>
        </w:rPr>
      </w:pPr>
      <w:r>
        <w:rPr>
          <w:rFonts w:ascii="Times New Roman" w:hAnsi="Times New Roman"/>
          <w:b/>
          <w:i/>
        </w:rPr>
        <w:t>INDICE</w:t>
      </w:r>
    </w:p>
    <w:p w:rsidR="00AA22EF" w:rsidRDefault="00AA22EF" w:rsidP="00AA22EF">
      <w:pPr>
        <w:pStyle w:val="P"/>
        <w:rPr>
          <w:rFonts w:ascii="Times New Roman" w:hAnsi="Times New Roman"/>
        </w:rPr>
      </w:pPr>
    </w:p>
    <w:p w:rsidR="00AA22EF" w:rsidRDefault="00AA22EF" w:rsidP="00AA22EF">
      <w:pPr>
        <w:pStyle w:val="P"/>
        <w:rPr>
          <w:rFonts w:ascii="Times New Roman" w:hAnsi="Times New Roman"/>
        </w:rPr>
      </w:pPr>
    </w:p>
    <w:p w:rsidR="00AA22EF" w:rsidRDefault="00AA22EF" w:rsidP="00AA22EF">
      <w:pPr>
        <w:pStyle w:val="R1"/>
        <w:numPr>
          <w:ilvl w:val="0"/>
          <w:numId w:val="12"/>
        </w:numPr>
        <w:rPr>
          <w:rFonts w:ascii="Times New Roman" w:hAnsi="Times New Roman"/>
          <w:b/>
          <w:bCs/>
        </w:rPr>
      </w:pPr>
      <w:r>
        <w:rPr>
          <w:rFonts w:ascii="Times New Roman" w:hAnsi="Times New Roman"/>
          <w:b/>
          <w:bCs/>
        </w:rPr>
        <w:t>SCOPO</w:t>
      </w:r>
    </w:p>
    <w:p w:rsidR="00AA22EF" w:rsidRDefault="00AA22EF" w:rsidP="00AA22EF">
      <w:pPr>
        <w:pStyle w:val="R1"/>
        <w:rPr>
          <w:rFonts w:ascii="Times New Roman" w:hAnsi="Times New Roman"/>
          <w:b/>
          <w:bCs/>
        </w:rPr>
      </w:pPr>
    </w:p>
    <w:p w:rsidR="00AA22EF" w:rsidRDefault="00AA22EF" w:rsidP="00AA22EF">
      <w:pPr>
        <w:pStyle w:val="R1"/>
        <w:numPr>
          <w:ilvl w:val="0"/>
          <w:numId w:val="12"/>
        </w:numPr>
        <w:rPr>
          <w:rFonts w:ascii="Times New Roman" w:hAnsi="Times New Roman"/>
          <w:b/>
          <w:bCs/>
        </w:rPr>
      </w:pPr>
      <w:r>
        <w:rPr>
          <w:rFonts w:ascii="Times New Roman" w:hAnsi="Times New Roman"/>
          <w:b/>
          <w:bCs/>
        </w:rPr>
        <w:t>CAMPO APPLICAZIONE</w:t>
      </w:r>
    </w:p>
    <w:p w:rsidR="00AA22EF" w:rsidRDefault="00AA22EF" w:rsidP="00AA22EF">
      <w:pPr>
        <w:pStyle w:val="R1"/>
        <w:rPr>
          <w:rFonts w:ascii="Times New Roman" w:hAnsi="Times New Roman"/>
          <w:b/>
          <w:bCs/>
        </w:rPr>
      </w:pPr>
    </w:p>
    <w:p w:rsidR="00AA22EF" w:rsidRDefault="00AA22EF" w:rsidP="00AA22EF">
      <w:pPr>
        <w:pStyle w:val="R1"/>
        <w:numPr>
          <w:ilvl w:val="0"/>
          <w:numId w:val="12"/>
        </w:numPr>
        <w:rPr>
          <w:rFonts w:ascii="Times New Roman" w:hAnsi="Times New Roman"/>
          <w:b/>
          <w:bCs/>
        </w:rPr>
      </w:pPr>
      <w:r>
        <w:rPr>
          <w:rFonts w:ascii="Times New Roman" w:hAnsi="Times New Roman"/>
          <w:b/>
          <w:bCs/>
        </w:rPr>
        <w:t>RESPONSABILITÀ</w:t>
      </w:r>
    </w:p>
    <w:p w:rsidR="00AA22EF" w:rsidRDefault="00AA22EF" w:rsidP="00AA22EF">
      <w:pPr>
        <w:pStyle w:val="R1"/>
        <w:ind w:left="360" w:firstLine="0"/>
        <w:rPr>
          <w:rFonts w:ascii="Times New Roman" w:hAnsi="Times New Roman"/>
          <w:b/>
          <w:bCs/>
        </w:rPr>
      </w:pPr>
    </w:p>
    <w:p w:rsidR="00AA22EF" w:rsidRDefault="00AA22EF" w:rsidP="00AA22EF">
      <w:pPr>
        <w:pStyle w:val="R1"/>
        <w:numPr>
          <w:ilvl w:val="0"/>
          <w:numId w:val="12"/>
        </w:numPr>
        <w:rPr>
          <w:rFonts w:ascii="Arial" w:hAnsi="Arial" w:cs="Arial"/>
          <w:b/>
          <w:bCs/>
        </w:rPr>
      </w:pPr>
      <w:r>
        <w:rPr>
          <w:rFonts w:ascii="Times New Roman" w:hAnsi="Times New Roman"/>
          <w:b/>
          <w:bCs/>
        </w:rPr>
        <w:t>DESCRIZIONE DELLE ATTIVITA’</w:t>
      </w:r>
    </w:p>
    <w:p w:rsidR="00AA22EF" w:rsidRDefault="00AA22EF" w:rsidP="00AA22EF">
      <w:pPr>
        <w:numPr>
          <w:ilvl w:val="0"/>
          <w:numId w:val="12"/>
        </w:numPr>
        <w:spacing w:line="240" w:lineRule="exact"/>
        <w:jc w:val="both"/>
        <w:rPr>
          <w:rFonts w:ascii="Times" w:hAnsi="Times"/>
          <w:b/>
          <w:bCs/>
          <w:sz w:val="24"/>
        </w:rPr>
      </w:pPr>
      <w:r>
        <w:rPr>
          <w:rFonts w:ascii="Times" w:hAnsi="Times"/>
          <w:b/>
          <w:bCs/>
          <w:sz w:val="24"/>
        </w:rPr>
        <w:t xml:space="preserve">INDICATORI </w:t>
      </w:r>
      <w:proofErr w:type="spellStart"/>
      <w:r>
        <w:rPr>
          <w:rFonts w:ascii="Times" w:hAnsi="Times"/>
          <w:b/>
          <w:bCs/>
          <w:sz w:val="24"/>
        </w:rPr>
        <w:t>DI</w:t>
      </w:r>
      <w:proofErr w:type="spellEnd"/>
      <w:r>
        <w:rPr>
          <w:rFonts w:ascii="Times" w:hAnsi="Times"/>
          <w:b/>
          <w:bCs/>
          <w:sz w:val="24"/>
        </w:rPr>
        <w:t xml:space="preserve"> PROCESSO</w:t>
      </w:r>
    </w:p>
    <w:p w:rsidR="00AA22EF" w:rsidRDefault="00AA22EF" w:rsidP="00AA22EF">
      <w:pPr>
        <w:numPr>
          <w:ilvl w:val="0"/>
          <w:numId w:val="12"/>
        </w:numPr>
        <w:spacing w:line="240" w:lineRule="exact"/>
        <w:jc w:val="both"/>
        <w:rPr>
          <w:rFonts w:ascii="Times" w:hAnsi="Times"/>
          <w:b/>
          <w:bCs/>
          <w:sz w:val="24"/>
        </w:rPr>
      </w:pPr>
      <w:r>
        <w:rPr>
          <w:rFonts w:ascii="Times" w:hAnsi="Times"/>
          <w:b/>
          <w:bCs/>
          <w:sz w:val="24"/>
        </w:rPr>
        <w:t>RIFERIMENTI</w:t>
      </w:r>
    </w:p>
    <w:p w:rsidR="00AA22EF" w:rsidRDefault="00AA22EF" w:rsidP="00AA22EF">
      <w:pPr>
        <w:numPr>
          <w:ilvl w:val="0"/>
          <w:numId w:val="12"/>
        </w:numPr>
        <w:spacing w:line="240" w:lineRule="exact"/>
        <w:jc w:val="both"/>
        <w:rPr>
          <w:rFonts w:ascii="Times" w:hAnsi="Times"/>
          <w:b/>
          <w:bCs/>
          <w:sz w:val="24"/>
        </w:rPr>
      </w:pPr>
      <w:r>
        <w:rPr>
          <w:rFonts w:ascii="Times" w:hAnsi="Times"/>
          <w:b/>
          <w:bCs/>
          <w:sz w:val="24"/>
        </w:rPr>
        <w:t>ARCHIVIAZIONE</w:t>
      </w:r>
    </w:p>
    <w:p w:rsidR="00AA22EF" w:rsidRDefault="00AA22EF" w:rsidP="00AA22EF">
      <w:pPr>
        <w:numPr>
          <w:ilvl w:val="0"/>
          <w:numId w:val="12"/>
        </w:numPr>
        <w:spacing w:line="240" w:lineRule="exact"/>
        <w:jc w:val="both"/>
        <w:rPr>
          <w:rFonts w:ascii="Times" w:hAnsi="Times"/>
          <w:b/>
          <w:bCs/>
          <w:sz w:val="24"/>
        </w:rPr>
      </w:pPr>
      <w:r>
        <w:rPr>
          <w:rFonts w:ascii="Times" w:hAnsi="Times"/>
          <w:b/>
          <w:bCs/>
          <w:sz w:val="24"/>
        </w:rPr>
        <w:t>TERMINOLOGIA E ABBREVIAZIONI</w:t>
      </w:r>
    </w:p>
    <w:p w:rsidR="00AA22EF" w:rsidRDefault="00AA22EF" w:rsidP="00AA22EF">
      <w:pPr>
        <w:numPr>
          <w:ilvl w:val="0"/>
          <w:numId w:val="12"/>
        </w:numPr>
        <w:spacing w:line="240" w:lineRule="exact"/>
        <w:jc w:val="both"/>
        <w:rPr>
          <w:rFonts w:ascii="Times" w:hAnsi="Times"/>
          <w:b/>
          <w:bCs/>
          <w:sz w:val="24"/>
        </w:rPr>
      </w:pPr>
      <w:r>
        <w:rPr>
          <w:rFonts w:ascii="Times" w:hAnsi="Times"/>
          <w:b/>
          <w:bCs/>
          <w:sz w:val="24"/>
        </w:rPr>
        <w:t>ALLEGATI</w:t>
      </w:r>
    </w:p>
    <w:p w:rsidR="00AA22EF" w:rsidRDefault="00AA22EF" w:rsidP="00AA22EF">
      <w:pPr>
        <w:spacing w:line="240" w:lineRule="exact"/>
        <w:ind w:left="624"/>
        <w:jc w:val="both"/>
        <w:rPr>
          <w:rFonts w:ascii="Times" w:hAnsi="Times"/>
          <w:b/>
          <w:bCs/>
          <w:sz w:val="24"/>
        </w:rPr>
      </w:pPr>
    </w:p>
    <w:p w:rsidR="00AA22EF" w:rsidRDefault="00AA22EF" w:rsidP="00AA22EF">
      <w:pPr>
        <w:spacing w:after="200" w:line="276" w:lineRule="auto"/>
        <w:rPr>
          <w:b/>
          <w:sz w:val="32"/>
          <w:szCs w:val="32"/>
        </w:rPr>
      </w:pPr>
      <w:r>
        <w:rPr>
          <w:b/>
          <w:sz w:val="32"/>
          <w:szCs w:val="32"/>
        </w:rPr>
        <w:br w:type="page"/>
      </w:r>
    </w:p>
    <w:p w:rsidR="00AA22EF" w:rsidRDefault="00AA22EF" w:rsidP="00AA22EF">
      <w:pPr>
        <w:numPr>
          <w:ilvl w:val="0"/>
          <w:numId w:val="3"/>
        </w:numPr>
        <w:spacing w:line="360" w:lineRule="auto"/>
        <w:jc w:val="both"/>
        <w:rPr>
          <w:b/>
          <w:color w:val="7030A0"/>
          <w:sz w:val="24"/>
          <w:szCs w:val="24"/>
        </w:rPr>
      </w:pPr>
      <w:r>
        <w:rPr>
          <w:b/>
          <w:color w:val="7030A0"/>
          <w:sz w:val="24"/>
          <w:szCs w:val="24"/>
          <w:u w:val="single" w:color="6600FF"/>
        </w:rPr>
        <w:lastRenderedPageBreak/>
        <w:t>SCOPO</w:t>
      </w:r>
      <w:r>
        <w:rPr>
          <w:b/>
          <w:color w:val="7030A0"/>
          <w:sz w:val="24"/>
          <w:szCs w:val="24"/>
        </w:rPr>
        <w:t>.</w:t>
      </w:r>
    </w:p>
    <w:p w:rsidR="00AA22EF" w:rsidRDefault="00AA22EF" w:rsidP="00AA22EF">
      <w:pPr>
        <w:tabs>
          <w:tab w:val="left" w:pos="426"/>
        </w:tabs>
        <w:jc w:val="both"/>
      </w:pPr>
      <w:r>
        <w:t>La procedura definisce e descrive il processo relativo alla gestione delle registrazioni di principale importanza ai fini della Qualità. Il termine "registrazione" identifica e comprende qualunque tipo di registro, schema, modulo, ecc. che descriva, definisca, documenti o certifichi le attività compiute ed i relativi risultati ottenuti.</w:t>
      </w:r>
    </w:p>
    <w:p w:rsidR="00AA22EF" w:rsidRDefault="00AA22EF" w:rsidP="00AA22EF">
      <w:pPr>
        <w:jc w:val="both"/>
      </w:pPr>
      <w:r>
        <w:t>Il Sistema di controllo delle registrazioni e questa procedura hanno l’obiettivo di assicurare che le registrazioni siano predisposte e conservate per fornire evidenza della conformità ai requisiti e dell’efficace funzionamento del Sistema di Gestione per la Qualità.</w:t>
      </w:r>
    </w:p>
    <w:p w:rsidR="00AA22EF" w:rsidRDefault="00AA22EF" w:rsidP="00AA22EF">
      <w:pPr>
        <w:jc w:val="both"/>
      </w:pPr>
      <w:r>
        <w:t>Il Sistema di controllo delle registrazioni deve consentire di:</w:t>
      </w:r>
    </w:p>
    <w:p w:rsidR="00AA22EF" w:rsidRDefault="00AA22EF" w:rsidP="00AA22EF">
      <w:pPr>
        <w:numPr>
          <w:ilvl w:val="0"/>
          <w:numId w:val="2"/>
        </w:numPr>
        <w:tabs>
          <w:tab w:val="clear" w:pos="360"/>
          <w:tab w:val="left" w:pos="851"/>
        </w:tabs>
        <w:ind w:left="851" w:hanging="501"/>
        <w:jc w:val="both"/>
      </w:pPr>
      <w:r>
        <w:t xml:space="preserve">identificare i documenti di registrazione presenti nell’istituto e il relativo stato di aggiornamento </w:t>
      </w:r>
    </w:p>
    <w:p w:rsidR="00AA22EF" w:rsidRDefault="00AA22EF" w:rsidP="00AA22EF">
      <w:pPr>
        <w:numPr>
          <w:ilvl w:val="0"/>
          <w:numId w:val="2"/>
        </w:numPr>
        <w:tabs>
          <w:tab w:val="clear" w:pos="360"/>
          <w:tab w:val="left" w:pos="851"/>
        </w:tabs>
        <w:ind w:hanging="10"/>
        <w:jc w:val="both"/>
      </w:pPr>
      <w:r>
        <w:t>curare l’archiviazione dei documenti di registrazione</w:t>
      </w:r>
    </w:p>
    <w:p w:rsidR="00AA22EF" w:rsidRDefault="00AA22EF" w:rsidP="00AA22EF">
      <w:pPr>
        <w:numPr>
          <w:ilvl w:val="0"/>
          <w:numId w:val="2"/>
        </w:numPr>
        <w:tabs>
          <w:tab w:val="clear" w:pos="360"/>
          <w:tab w:val="left" w:pos="851"/>
        </w:tabs>
        <w:ind w:left="851" w:hanging="501"/>
        <w:jc w:val="both"/>
      </w:pPr>
      <w:r>
        <w:t>assicurare la loro protezione</w:t>
      </w:r>
    </w:p>
    <w:p w:rsidR="00AA22EF" w:rsidRDefault="00AA22EF" w:rsidP="00AA22EF">
      <w:pPr>
        <w:numPr>
          <w:ilvl w:val="0"/>
          <w:numId w:val="2"/>
        </w:numPr>
        <w:tabs>
          <w:tab w:val="clear" w:pos="360"/>
          <w:tab w:val="left" w:pos="851"/>
        </w:tabs>
        <w:ind w:hanging="10"/>
        <w:jc w:val="both"/>
      </w:pPr>
      <w:r>
        <w:t>assicurare la loro reperibilità</w:t>
      </w:r>
    </w:p>
    <w:p w:rsidR="00AA22EF" w:rsidRDefault="00AA22EF" w:rsidP="00AA22EF">
      <w:pPr>
        <w:numPr>
          <w:ilvl w:val="0"/>
          <w:numId w:val="2"/>
        </w:numPr>
        <w:tabs>
          <w:tab w:val="clear" w:pos="360"/>
          <w:tab w:val="left" w:pos="851"/>
        </w:tabs>
        <w:ind w:hanging="10"/>
        <w:jc w:val="both"/>
      </w:pPr>
      <w:r>
        <w:t>definire la durata della conservazione delle registrazioni e la modalità di eliminazione.</w:t>
      </w:r>
    </w:p>
    <w:p w:rsidR="00AA22EF" w:rsidRDefault="00AA22EF" w:rsidP="00AA22EF">
      <w:pPr>
        <w:tabs>
          <w:tab w:val="left" w:pos="851"/>
        </w:tabs>
        <w:ind w:left="360"/>
        <w:jc w:val="both"/>
      </w:pPr>
    </w:p>
    <w:p w:rsidR="00AA22EF" w:rsidRDefault="00AA22EF" w:rsidP="00AA22EF">
      <w:pPr>
        <w:numPr>
          <w:ilvl w:val="0"/>
          <w:numId w:val="3"/>
        </w:numPr>
        <w:spacing w:line="360" w:lineRule="auto"/>
        <w:jc w:val="both"/>
        <w:rPr>
          <w:b/>
          <w:color w:val="7030A0"/>
          <w:sz w:val="24"/>
          <w:szCs w:val="24"/>
        </w:rPr>
      </w:pPr>
      <w:r>
        <w:rPr>
          <w:b/>
          <w:color w:val="7030A0"/>
          <w:sz w:val="24"/>
          <w:szCs w:val="24"/>
          <w:u w:val="single" w:color="6600FF"/>
        </w:rPr>
        <w:t xml:space="preserve">CAMPO </w:t>
      </w:r>
      <w:proofErr w:type="spellStart"/>
      <w:r>
        <w:rPr>
          <w:b/>
          <w:color w:val="7030A0"/>
          <w:sz w:val="24"/>
          <w:szCs w:val="24"/>
          <w:u w:val="single" w:color="6600FF"/>
        </w:rPr>
        <w:t>DI</w:t>
      </w:r>
      <w:proofErr w:type="spellEnd"/>
      <w:r>
        <w:rPr>
          <w:b/>
          <w:color w:val="7030A0"/>
          <w:sz w:val="24"/>
          <w:szCs w:val="24"/>
          <w:u w:val="single" w:color="6600FF"/>
        </w:rPr>
        <w:t xml:space="preserve"> APPLICAZIONE</w:t>
      </w:r>
    </w:p>
    <w:p w:rsidR="00AA22EF" w:rsidRDefault="00AA22EF" w:rsidP="00AA22EF">
      <w:pPr>
        <w:tabs>
          <w:tab w:val="left" w:pos="426"/>
        </w:tabs>
        <w:jc w:val="both"/>
      </w:pPr>
      <w:r>
        <w:t>La procedura definisce e descrive il processo relativo alla gestione delle registrazioni di principale importanza ai fini della Qualità. Il termine "registrazione" identifica e comprende qualunque tipo di registro, schema, modulo, ecc. che descriva, definisca, documenti o certifichi le attività compiute ed i relativi risultati ottenuti.</w:t>
      </w:r>
    </w:p>
    <w:p w:rsidR="00AA22EF" w:rsidRDefault="00AA22EF" w:rsidP="00AA22EF">
      <w:pPr>
        <w:jc w:val="both"/>
      </w:pPr>
      <w:r>
        <w:t>Il Sistema di controllo delle registrazioni e questa procedura hanno l’obiettivo di assicurare che le registrazioni siano predisposte e conservate per fornire evidenza della conformità ai requisiti e dell’efficace funzionamento del Sistema di Gestione per la Qualità.</w:t>
      </w:r>
    </w:p>
    <w:p w:rsidR="00AA22EF" w:rsidRDefault="00AA22EF" w:rsidP="00AA22EF">
      <w:pPr>
        <w:jc w:val="both"/>
      </w:pPr>
      <w:r>
        <w:t>Il Sistema di controllo delle registrazioni deve consentire di:</w:t>
      </w:r>
    </w:p>
    <w:p w:rsidR="00AA22EF" w:rsidRDefault="00AA22EF" w:rsidP="00AA22EF">
      <w:pPr>
        <w:numPr>
          <w:ilvl w:val="0"/>
          <w:numId w:val="2"/>
        </w:numPr>
        <w:tabs>
          <w:tab w:val="clear" w:pos="360"/>
          <w:tab w:val="left" w:pos="851"/>
        </w:tabs>
        <w:ind w:left="851" w:hanging="501"/>
        <w:jc w:val="both"/>
      </w:pPr>
      <w:r>
        <w:t xml:space="preserve">identificare i documenti di registrazione presenti nell’istituto e il relativo stato di aggiornamento </w:t>
      </w:r>
    </w:p>
    <w:p w:rsidR="00AA22EF" w:rsidRDefault="00AA22EF" w:rsidP="00AA22EF">
      <w:pPr>
        <w:numPr>
          <w:ilvl w:val="0"/>
          <w:numId w:val="2"/>
        </w:numPr>
        <w:tabs>
          <w:tab w:val="clear" w:pos="360"/>
          <w:tab w:val="left" w:pos="851"/>
        </w:tabs>
        <w:ind w:hanging="10"/>
        <w:jc w:val="both"/>
      </w:pPr>
      <w:r>
        <w:t>curare l’archiviazione dei documenti di registrazione</w:t>
      </w:r>
    </w:p>
    <w:p w:rsidR="00AA22EF" w:rsidRDefault="00AA22EF" w:rsidP="00AA22EF">
      <w:pPr>
        <w:numPr>
          <w:ilvl w:val="0"/>
          <w:numId w:val="2"/>
        </w:numPr>
        <w:tabs>
          <w:tab w:val="clear" w:pos="360"/>
          <w:tab w:val="left" w:pos="851"/>
        </w:tabs>
        <w:ind w:left="851" w:hanging="501"/>
        <w:jc w:val="both"/>
      </w:pPr>
      <w:r>
        <w:t>assicurare la loro protezione</w:t>
      </w:r>
    </w:p>
    <w:p w:rsidR="00AA22EF" w:rsidRDefault="00AA22EF" w:rsidP="00AA22EF">
      <w:pPr>
        <w:numPr>
          <w:ilvl w:val="0"/>
          <w:numId w:val="2"/>
        </w:numPr>
        <w:tabs>
          <w:tab w:val="clear" w:pos="360"/>
          <w:tab w:val="left" w:pos="851"/>
        </w:tabs>
        <w:ind w:hanging="10"/>
        <w:jc w:val="both"/>
      </w:pPr>
      <w:r>
        <w:t>assicurare la loro reperibilità</w:t>
      </w:r>
    </w:p>
    <w:p w:rsidR="00AA22EF" w:rsidRDefault="00AA22EF" w:rsidP="00AA22EF">
      <w:pPr>
        <w:numPr>
          <w:ilvl w:val="0"/>
          <w:numId w:val="2"/>
        </w:numPr>
        <w:tabs>
          <w:tab w:val="clear" w:pos="360"/>
          <w:tab w:val="left" w:pos="851"/>
        </w:tabs>
        <w:ind w:hanging="10"/>
        <w:jc w:val="both"/>
      </w:pPr>
      <w:r>
        <w:t>definire la durata della conservazione delle registrazioni e la modalità di eliminazione.</w:t>
      </w:r>
    </w:p>
    <w:p w:rsidR="00AA22EF" w:rsidRDefault="00AA22EF" w:rsidP="00AA22EF"/>
    <w:p w:rsidR="00AA22EF" w:rsidRDefault="00AA22EF" w:rsidP="00AA22EF">
      <w:pPr>
        <w:jc w:val="both"/>
      </w:pPr>
      <w:r>
        <w:t>La procedura si applica alla gestione dei documenti che hanno attinenza al Sistema Gestione Qualità. Si distinguono in documenti prescrittivi del Sistema Qualità e documenti di Registrazione della Qualità.</w:t>
      </w:r>
    </w:p>
    <w:p w:rsidR="00AA22EF" w:rsidRDefault="00AA22EF" w:rsidP="00AA22EF">
      <w:pPr>
        <w:jc w:val="both"/>
      </w:pPr>
    </w:p>
    <w:p w:rsidR="00AA22EF" w:rsidRDefault="00AA22EF" w:rsidP="00AA22EF">
      <w:pPr>
        <w:jc w:val="both"/>
      </w:pPr>
      <w:r>
        <w:t xml:space="preserve">Per documenti prescrittivi si intendono quei documenti che descrivono il Sistema Gestione Qualità e definiscono, in conformità alle norme ISO 9000, le modalità operative con cui sono svolte le diverse attività. </w:t>
      </w:r>
    </w:p>
    <w:p w:rsidR="00AA22EF" w:rsidRDefault="00AA22EF" w:rsidP="00AA22EF">
      <w:pPr>
        <w:jc w:val="both"/>
      </w:pPr>
    </w:p>
    <w:p w:rsidR="00AA22EF" w:rsidRDefault="00AA22EF" w:rsidP="00AA22EF">
      <w:pPr>
        <w:jc w:val="both"/>
      </w:pPr>
      <w:r>
        <w:t xml:space="preserve">Comprendono tutti quei documenti che sono utilizzati per implementare e mantenere il Sistema Gestione Qualità: </w:t>
      </w:r>
    </w:p>
    <w:p w:rsidR="00AA22EF" w:rsidRDefault="00AA22EF" w:rsidP="00AA22EF">
      <w:pPr>
        <w:numPr>
          <w:ilvl w:val="0"/>
          <w:numId w:val="1"/>
        </w:numPr>
        <w:jc w:val="both"/>
      </w:pPr>
      <w:r>
        <w:t>La documentazione descrittiva del Sistema Qualità (Manuale Sistema Qualità, Procedure Operative, Istruzioni Operative)</w:t>
      </w:r>
    </w:p>
    <w:p w:rsidR="00AA22EF" w:rsidRDefault="00AA22EF" w:rsidP="00AA22EF">
      <w:pPr>
        <w:numPr>
          <w:ilvl w:val="0"/>
          <w:numId w:val="1"/>
        </w:numPr>
        <w:jc w:val="both"/>
      </w:pPr>
      <w:r>
        <w:t>Le leggi, norme e standard di origine esterna utilizzati come riferimento per lo svolgimento di tutte le attività dell’</w:t>
      </w:r>
      <w:proofErr w:type="spellStart"/>
      <w:r>
        <w:t>IS</w:t>
      </w:r>
      <w:proofErr w:type="spellEnd"/>
      <w:r>
        <w:t>.</w:t>
      </w:r>
    </w:p>
    <w:p w:rsidR="00AA22EF" w:rsidRDefault="00AA22EF" w:rsidP="00AA22EF">
      <w:pPr>
        <w:jc w:val="both"/>
      </w:pPr>
    </w:p>
    <w:p w:rsidR="00AA22EF" w:rsidRDefault="00AA22EF" w:rsidP="00AA22EF">
      <w:pPr>
        <w:jc w:val="both"/>
      </w:pPr>
      <w:r>
        <w:t>I documenti di Registrazione della Qualità sono quelli che attestano il raggiungimento della Qualità richiesta e l’effettiva applicazione del Sistema Qualità, fornendone evidenza oggettiva. Questi documenti attestano esecuzione delle seguenti attività:</w:t>
      </w:r>
    </w:p>
    <w:p w:rsidR="00AA22EF" w:rsidRDefault="00AA22EF" w:rsidP="00AA22EF">
      <w:pPr>
        <w:numPr>
          <w:ilvl w:val="0"/>
          <w:numId w:val="1"/>
        </w:numPr>
        <w:jc w:val="both"/>
      </w:pPr>
      <w:r>
        <w:t xml:space="preserve">riesami del Sistema Qualità </w:t>
      </w:r>
    </w:p>
    <w:p w:rsidR="00AA22EF" w:rsidRDefault="00AA22EF" w:rsidP="00AA22EF">
      <w:pPr>
        <w:numPr>
          <w:ilvl w:val="0"/>
          <w:numId w:val="1"/>
        </w:numPr>
        <w:jc w:val="both"/>
      </w:pPr>
      <w:r>
        <w:t>riesame dei requisiti del servizio</w:t>
      </w:r>
    </w:p>
    <w:p w:rsidR="00AA22EF" w:rsidRDefault="00AA22EF" w:rsidP="00AA22EF">
      <w:pPr>
        <w:numPr>
          <w:ilvl w:val="0"/>
          <w:numId w:val="1"/>
        </w:numPr>
        <w:jc w:val="both"/>
      </w:pPr>
      <w:r>
        <w:t>gestione delle risorse</w:t>
      </w:r>
    </w:p>
    <w:p w:rsidR="00AA22EF" w:rsidRDefault="00AA22EF" w:rsidP="00AA22EF">
      <w:pPr>
        <w:numPr>
          <w:ilvl w:val="0"/>
          <w:numId w:val="1"/>
        </w:numPr>
        <w:jc w:val="both"/>
      </w:pPr>
      <w:r>
        <w:t>pianificazione e gestione dei processi</w:t>
      </w:r>
    </w:p>
    <w:p w:rsidR="00AA22EF" w:rsidRDefault="00AA22EF" w:rsidP="00AA22EF">
      <w:pPr>
        <w:numPr>
          <w:ilvl w:val="0"/>
          <w:numId w:val="1"/>
        </w:numPr>
        <w:jc w:val="both"/>
      </w:pPr>
      <w:r>
        <w:t>controllo processi</w:t>
      </w:r>
    </w:p>
    <w:p w:rsidR="00AA22EF" w:rsidRDefault="00AA22EF" w:rsidP="00AA22EF">
      <w:pPr>
        <w:numPr>
          <w:ilvl w:val="0"/>
          <w:numId w:val="1"/>
        </w:numPr>
        <w:jc w:val="both"/>
      </w:pPr>
      <w:r>
        <w:t>valutazione dei fornitori</w:t>
      </w:r>
    </w:p>
    <w:p w:rsidR="00AA22EF" w:rsidRDefault="00AA22EF" w:rsidP="00AA22EF">
      <w:pPr>
        <w:numPr>
          <w:ilvl w:val="0"/>
          <w:numId w:val="1"/>
        </w:numPr>
        <w:jc w:val="both"/>
      </w:pPr>
      <w:r>
        <w:t>trattamento non conformità e azioni correttive e preventive</w:t>
      </w:r>
    </w:p>
    <w:p w:rsidR="00AA22EF" w:rsidRDefault="00AA22EF" w:rsidP="00AA22EF">
      <w:pPr>
        <w:numPr>
          <w:ilvl w:val="0"/>
          <w:numId w:val="1"/>
        </w:numPr>
        <w:jc w:val="both"/>
      </w:pPr>
      <w:r>
        <w:t>verifiche ispettive interne.</w:t>
      </w:r>
    </w:p>
    <w:p w:rsidR="00AA22EF" w:rsidRDefault="00AA22EF" w:rsidP="00AA22EF">
      <w:pPr>
        <w:ind w:left="360"/>
        <w:jc w:val="both"/>
      </w:pPr>
    </w:p>
    <w:p w:rsidR="00AA22EF" w:rsidRDefault="00AA22EF" w:rsidP="00AA22EF">
      <w:pPr>
        <w:numPr>
          <w:ilvl w:val="0"/>
          <w:numId w:val="4"/>
        </w:numPr>
        <w:spacing w:line="360" w:lineRule="auto"/>
        <w:jc w:val="both"/>
        <w:rPr>
          <w:b/>
          <w:color w:val="7030A0"/>
          <w:sz w:val="24"/>
          <w:szCs w:val="24"/>
        </w:rPr>
      </w:pPr>
      <w:r>
        <w:rPr>
          <w:b/>
          <w:color w:val="7030A0"/>
          <w:sz w:val="24"/>
          <w:szCs w:val="24"/>
          <w:u w:val="single" w:color="6600FF"/>
        </w:rPr>
        <w:t>RESPONSABILITÀ</w:t>
      </w:r>
      <w:r>
        <w:rPr>
          <w:b/>
          <w:color w:val="7030A0"/>
          <w:sz w:val="24"/>
          <w:szCs w:val="24"/>
        </w:rPr>
        <w:t>.</w:t>
      </w:r>
    </w:p>
    <w:p w:rsidR="00AA22EF" w:rsidRDefault="00AA22EF" w:rsidP="00AA22EF">
      <w:pPr>
        <w:pStyle w:val="Intestazione"/>
        <w:tabs>
          <w:tab w:val="clear" w:pos="4819"/>
          <w:tab w:val="clear" w:pos="9638"/>
        </w:tabs>
        <w:jc w:val="both"/>
      </w:pPr>
      <w:r>
        <w:t>Le responsabilità nella gestione della registrazione dei documenti della qualità è compito del RSQ.</w:t>
      </w:r>
    </w:p>
    <w:p w:rsidR="00AA22EF" w:rsidRDefault="00AA22EF" w:rsidP="00AA22EF">
      <w:pPr>
        <w:pStyle w:val="Intestazione"/>
        <w:tabs>
          <w:tab w:val="clear" w:pos="4819"/>
          <w:tab w:val="clear" w:pos="9638"/>
        </w:tabs>
        <w:jc w:val="both"/>
      </w:pPr>
    </w:p>
    <w:p w:rsidR="00AA22EF" w:rsidRDefault="00AA22EF" w:rsidP="00AA22EF">
      <w:pPr>
        <w:numPr>
          <w:ilvl w:val="0"/>
          <w:numId w:val="5"/>
        </w:numPr>
        <w:spacing w:line="360" w:lineRule="auto"/>
        <w:jc w:val="both"/>
        <w:rPr>
          <w:b/>
          <w:color w:val="7030A0"/>
          <w:sz w:val="24"/>
          <w:szCs w:val="24"/>
        </w:rPr>
      </w:pPr>
      <w:r>
        <w:rPr>
          <w:b/>
          <w:color w:val="7030A0"/>
          <w:sz w:val="24"/>
          <w:szCs w:val="24"/>
          <w:u w:val="single" w:color="6600FF"/>
        </w:rPr>
        <w:t>DESCRIZIONE DELLA ATTIVITÀ</w:t>
      </w:r>
      <w:r>
        <w:rPr>
          <w:b/>
          <w:color w:val="7030A0"/>
          <w:sz w:val="24"/>
          <w:szCs w:val="24"/>
        </w:rPr>
        <w:t>.</w:t>
      </w:r>
    </w:p>
    <w:p w:rsidR="00AA22EF" w:rsidRDefault="00AA22EF" w:rsidP="00AA22EF">
      <w:pPr>
        <w:tabs>
          <w:tab w:val="left" w:pos="851"/>
        </w:tabs>
        <w:jc w:val="both"/>
      </w:pPr>
      <w:r>
        <w:t>Tra i documenti di Istituto ed i documenti operativi, devono essere individuati tutti quelli che, possono essere considerati "documenti di registrazione della qualità". Tali documenti vanno riportati nell'apposito elenco predisposto.</w:t>
      </w:r>
    </w:p>
    <w:p w:rsidR="00AA22EF" w:rsidRDefault="00AA22EF" w:rsidP="00AA22EF">
      <w:pPr>
        <w:tabs>
          <w:tab w:val="left" w:pos="851"/>
        </w:tabs>
        <w:jc w:val="both"/>
      </w:pPr>
      <w:r>
        <w:lastRenderedPageBreak/>
        <w:t>L'elenco dei documenti di registrazione della qualità è un documento dinamico che va aggiornato e completato parallelamente all'evolversi del Sistema Qualità.</w:t>
      </w:r>
    </w:p>
    <w:p w:rsidR="00AA22EF" w:rsidRDefault="00AA22EF" w:rsidP="00AA22EF">
      <w:pPr>
        <w:tabs>
          <w:tab w:val="left" w:pos="851"/>
        </w:tabs>
        <w:jc w:val="both"/>
      </w:pPr>
      <w:r>
        <w:t>L'individuazione dei documenti di registrazione della qualità, il loro inserimento nel relativo elenco e la gestione dell'elenco stesso, sono di competenza del Responsabile Qualità.</w:t>
      </w:r>
    </w:p>
    <w:p w:rsidR="00AA22EF" w:rsidRDefault="00AA22EF" w:rsidP="00AA22EF">
      <w:pPr>
        <w:pStyle w:val="Corpodeltesto"/>
        <w:tabs>
          <w:tab w:val="left" w:pos="426"/>
        </w:tabs>
        <w:jc w:val="both"/>
        <w:rPr>
          <w:sz w:val="20"/>
          <w:szCs w:val="20"/>
        </w:rPr>
      </w:pPr>
      <w:r>
        <w:rPr>
          <w:sz w:val="20"/>
          <w:szCs w:val="20"/>
        </w:rPr>
        <w:t>La gestione delle eventuali modifiche o aggiornamenti dei documenti su cui si effettuano registrazioni della qualità avviene secondo quanto prescritto dalla procedura n.2.</w:t>
      </w:r>
    </w:p>
    <w:p w:rsidR="00AA22EF" w:rsidRDefault="00AA22EF" w:rsidP="00AA22EF">
      <w:pPr>
        <w:tabs>
          <w:tab w:val="left" w:pos="851"/>
        </w:tabs>
        <w:jc w:val="both"/>
        <w:rPr>
          <w:rFonts w:eastAsia="Calibri"/>
          <w:color w:val="000000"/>
          <w:sz w:val="24"/>
          <w:szCs w:val="24"/>
        </w:rPr>
      </w:pPr>
      <w:r>
        <w:t>Il RSQ si sta occupando, coinvolgendo le funzioni strumentali appositamente individuate, di costruire un sistema di salvataggio dei dati in formato elettronico, così da consentire anche un’archiviazione più lunga nel tempo dei document</w:t>
      </w:r>
      <w:r>
        <w:rPr>
          <w:rFonts w:eastAsia="Calibri"/>
          <w:color w:val="000000"/>
          <w:sz w:val="24"/>
          <w:szCs w:val="24"/>
        </w:rPr>
        <w:t>i.</w:t>
      </w:r>
    </w:p>
    <w:p w:rsidR="00AA22EF" w:rsidRDefault="00AA22EF" w:rsidP="00AA22EF">
      <w:pPr>
        <w:tabs>
          <w:tab w:val="left" w:pos="851"/>
        </w:tabs>
        <w:jc w:val="both"/>
        <w:rPr>
          <w:rFonts w:eastAsia="Calibri"/>
          <w:color w:val="000000"/>
          <w:sz w:val="24"/>
          <w:szCs w:val="24"/>
        </w:rPr>
      </w:pPr>
    </w:p>
    <w:p w:rsidR="00AA22EF" w:rsidRDefault="00AA22EF" w:rsidP="00AA22EF">
      <w:pPr>
        <w:numPr>
          <w:ilvl w:val="0"/>
          <w:numId w:val="6"/>
        </w:numPr>
        <w:spacing w:line="360" w:lineRule="auto"/>
        <w:jc w:val="both"/>
        <w:rPr>
          <w:b/>
          <w:color w:val="7030A0"/>
          <w:sz w:val="24"/>
          <w:szCs w:val="24"/>
        </w:rPr>
      </w:pPr>
      <w:r>
        <w:rPr>
          <w:b/>
          <w:color w:val="7030A0"/>
          <w:sz w:val="24"/>
          <w:szCs w:val="24"/>
          <w:u w:val="single" w:color="6600FF"/>
        </w:rPr>
        <w:t xml:space="preserve">INDICATORI </w:t>
      </w:r>
      <w:proofErr w:type="spellStart"/>
      <w:r>
        <w:rPr>
          <w:b/>
          <w:color w:val="7030A0"/>
          <w:sz w:val="24"/>
          <w:szCs w:val="24"/>
          <w:u w:val="single" w:color="6600FF"/>
        </w:rPr>
        <w:t>DI</w:t>
      </w:r>
      <w:proofErr w:type="spellEnd"/>
      <w:r>
        <w:rPr>
          <w:b/>
          <w:color w:val="7030A0"/>
          <w:sz w:val="24"/>
          <w:szCs w:val="24"/>
          <w:u w:val="single" w:color="6600FF"/>
        </w:rPr>
        <w:t xml:space="preserve"> PROCESSO</w:t>
      </w:r>
      <w:r>
        <w:rPr>
          <w:b/>
          <w:color w:val="7030A0"/>
          <w:sz w:val="24"/>
          <w:szCs w:val="24"/>
        </w:rPr>
        <w:t>.</w:t>
      </w:r>
    </w:p>
    <w:p w:rsidR="00AA22EF" w:rsidRDefault="00AA22EF" w:rsidP="00AA22EF">
      <w:pPr>
        <w:numPr>
          <w:ilvl w:val="0"/>
          <w:numId w:val="1"/>
        </w:numPr>
        <w:spacing w:line="360" w:lineRule="auto"/>
        <w:jc w:val="both"/>
      </w:pPr>
      <w:r>
        <w:t>Rintracciabilità e identificabilità dei documenti.</w:t>
      </w:r>
    </w:p>
    <w:p w:rsidR="00AA22EF" w:rsidRDefault="00AA22EF" w:rsidP="00AA22EF">
      <w:pPr>
        <w:numPr>
          <w:ilvl w:val="0"/>
          <w:numId w:val="7"/>
        </w:numPr>
        <w:spacing w:line="360" w:lineRule="auto"/>
        <w:jc w:val="both"/>
        <w:rPr>
          <w:b/>
          <w:color w:val="7030A0"/>
          <w:sz w:val="24"/>
          <w:szCs w:val="24"/>
        </w:rPr>
      </w:pPr>
      <w:r>
        <w:rPr>
          <w:b/>
          <w:color w:val="7030A0"/>
          <w:sz w:val="24"/>
          <w:szCs w:val="24"/>
          <w:u w:val="single" w:color="6600FF"/>
        </w:rPr>
        <w:t>RIFERIMENTI</w:t>
      </w:r>
      <w:r>
        <w:rPr>
          <w:b/>
          <w:color w:val="7030A0"/>
          <w:sz w:val="24"/>
          <w:szCs w:val="24"/>
        </w:rPr>
        <w:t>.</w:t>
      </w:r>
    </w:p>
    <w:p w:rsidR="00AA22EF" w:rsidRDefault="00AA22EF" w:rsidP="00AA22EF">
      <w:pPr>
        <w:widowControl w:val="0"/>
        <w:numPr>
          <w:ilvl w:val="1"/>
          <w:numId w:val="11"/>
        </w:numPr>
        <w:jc w:val="both"/>
      </w:pPr>
      <w:r>
        <w:t>Manuale della Qualità, UNI EN ISO 9004: 2009, PUNTO 6.7.2</w:t>
      </w:r>
    </w:p>
    <w:p w:rsidR="00AA22EF" w:rsidRDefault="00AA22EF" w:rsidP="00AA22EF">
      <w:pPr>
        <w:widowControl w:val="0"/>
        <w:ind w:left="1440"/>
        <w:jc w:val="both"/>
      </w:pPr>
    </w:p>
    <w:p w:rsidR="00AA22EF" w:rsidRDefault="00AA22EF" w:rsidP="00AA22EF">
      <w:pPr>
        <w:numPr>
          <w:ilvl w:val="0"/>
          <w:numId w:val="8"/>
        </w:numPr>
        <w:spacing w:line="360" w:lineRule="auto"/>
        <w:jc w:val="both"/>
        <w:rPr>
          <w:b/>
          <w:color w:val="7030A0"/>
          <w:sz w:val="24"/>
          <w:szCs w:val="24"/>
        </w:rPr>
      </w:pPr>
      <w:r>
        <w:rPr>
          <w:b/>
          <w:color w:val="7030A0"/>
          <w:sz w:val="24"/>
          <w:szCs w:val="24"/>
          <w:u w:val="single" w:color="6600FF"/>
        </w:rPr>
        <w:t>ARCHIVIAZIONI</w:t>
      </w:r>
      <w:r>
        <w:rPr>
          <w:b/>
          <w:color w:val="7030A0"/>
          <w:sz w:val="24"/>
          <w:szCs w:val="24"/>
        </w:rPr>
        <w:t>.</w:t>
      </w:r>
    </w:p>
    <w:p w:rsidR="00AA22EF" w:rsidRDefault="00AA22EF" w:rsidP="00AA22EF">
      <w:pPr>
        <w:tabs>
          <w:tab w:val="left" w:pos="426"/>
        </w:tabs>
        <w:jc w:val="both"/>
      </w:pPr>
      <w:r>
        <w:t>Tutti i documenti di registrazione della qualità vanno conservati e tenuti a disposizione per un tempo almeno pari a quello definito nell'indice dei documenti di registrazione della qualità; scaduto tale termine si stabilirà, caso per caso, quali dei suddetti documenti saranno ulteriormente conservati. Tutti i documenti devono essere conservati nella cassaforte del DS.</w:t>
      </w:r>
    </w:p>
    <w:p w:rsidR="00AA22EF" w:rsidRDefault="00AA22EF" w:rsidP="00AA22EF">
      <w:pPr>
        <w:tabs>
          <w:tab w:val="left" w:pos="426"/>
        </w:tabs>
        <w:jc w:val="both"/>
      </w:pPr>
    </w:p>
    <w:p w:rsidR="00AA22EF" w:rsidRDefault="00AA22EF" w:rsidP="00AA22EF">
      <w:pPr>
        <w:numPr>
          <w:ilvl w:val="0"/>
          <w:numId w:val="9"/>
        </w:numPr>
        <w:spacing w:line="360" w:lineRule="auto"/>
        <w:jc w:val="both"/>
        <w:rPr>
          <w:b/>
          <w:color w:val="7030A0"/>
          <w:sz w:val="24"/>
          <w:szCs w:val="24"/>
        </w:rPr>
      </w:pPr>
      <w:r>
        <w:rPr>
          <w:b/>
          <w:color w:val="7030A0"/>
          <w:sz w:val="24"/>
          <w:szCs w:val="24"/>
          <w:u w:val="single" w:color="6600FF"/>
        </w:rPr>
        <w:t>TERMINOLOGIA E ABBREVIAZIONI</w:t>
      </w:r>
      <w:r>
        <w:rPr>
          <w:b/>
          <w:color w:val="7030A0"/>
          <w:sz w:val="24"/>
          <w:szCs w:val="24"/>
        </w:rPr>
        <w:t>.</w:t>
      </w:r>
    </w:p>
    <w:p w:rsidR="00AA22EF" w:rsidRDefault="00AA22EF" w:rsidP="00AA22EF">
      <w:pPr>
        <w:spacing w:line="360" w:lineRule="auto"/>
        <w:jc w:val="both"/>
        <w:rPr>
          <w:sz w:val="24"/>
          <w:szCs w:val="24"/>
        </w:rPr>
      </w:pPr>
      <w:r>
        <w:rPr>
          <w:sz w:val="24"/>
          <w:szCs w:val="24"/>
        </w:rPr>
        <w:t>Cfr. capitolo 3 del Manuale della Qualità.</w:t>
      </w:r>
    </w:p>
    <w:p w:rsidR="00AA22EF" w:rsidRDefault="00AA22EF" w:rsidP="00AA22EF">
      <w:pPr>
        <w:numPr>
          <w:ilvl w:val="0"/>
          <w:numId w:val="10"/>
        </w:numPr>
        <w:spacing w:line="360" w:lineRule="auto"/>
        <w:jc w:val="both"/>
        <w:rPr>
          <w:b/>
          <w:color w:val="7030A0"/>
          <w:sz w:val="24"/>
          <w:szCs w:val="24"/>
        </w:rPr>
      </w:pPr>
      <w:r>
        <w:rPr>
          <w:b/>
          <w:color w:val="7030A0"/>
          <w:sz w:val="24"/>
          <w:szCs w:val="24"/>
          <w:u w:val="single" w:color="6600FF"/>
        </w:rPr>
        <w:t>ALLEGATI</w:t>
      </w:r>
      <w:r>
        <w:rPr>
          <w:b/>
          <w:color w:val="7030A0"/>
          <w:sz w:val="24"/>
          <w:szCs w:val="24"/>
        </w:rPr>
        <w:t xml:space="preserve">. </w:t>
      </w:r>
    </w:p>
    <w:p w:rsidR="007315BF" w:rsidRDefault="00AA22EF" w:rsidP="00AA22EF">
      <w:r>
        <w:t>ALLEGATO: Lista di Distribuzione Documenti</w:t>
      </w:r>
    </w:p>
    <w:sectPr w:rsidR="007315BF" w:rsidSect="007315B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ews Serif">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24D"/>
    <w:multiLevelType w:val="hybridMultilevel"/>
    <w:tmpl w:val="A5785C6E"/>
    <w:lvl w:ilvl="0" w:tplc="7384F816">
      <w:start w:val="7"/>
      <w:numFmt w:val="decimal"/>
      <w:lvlText w:val="%1."/>
      <w:lvlJc w:val="left"/>
      <w:pPr>
        <w:ind w:left="786" w:hanging="360"/>
      </w:pPr>
      <w:rPr>
        <w:rFonts w:ascii="Times New Roman" w:hAnsi="Times New Roman" w:hint="default"/>
        <w:b/>
        <w:i w:val="0"/>
        <w:color w:val="7030A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2C4D3C"/>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
    <w:nsid w:val="07DB001B"/>
    <w:multiLevelType w:val="hybridMultilevel"/>
    <w:tmpl w:val="511AC1D8"/>
    <w:lvl w:ilvl="0" w:tplc="73668B64">
      <w:start w:val="3"/>
      <w:numFmt w:val="decimal"/>
      <w:lvlText w:val="%1."/>
      <w:lvlJc w:val="left"/>
      <w:pPr>
        <w:ind w:left="720" w:hanging="360"/>
      </w:pPr>
      <w:rPr>
        <w:rFonts w:ascii="Times New Roman" w:hAnsi="Times New Roman" w:hint="default"/>
        <w:b/>
        <w:i w:val="0"/>
        <w:color w:val="7030A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F56F83"/>
    <w:multiLevelType w:val="hybridMultilevel"/>
    <w:tmpl w:val="26C478F0"/>
    <w:lvl w:ilvl="0" w:tplc="1D62AD9E">
      <w:start w:val="7"/>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0775072"/>
    <w:multiLevelType w:val="hybridMultilevel"/>
    <w:tmpl w:val="E3109822"/>
    <w:lvl w:ilvl="0" w:tplc="927AC528">
      <w:start w:val="6"/>
      <w:numFmt w:val="decimal"/>
      <w:lvlText w:val="%1."/>
      <w:lvlJc w:val="left"/>
      <w:pPr>
        <w:ind w:left="720" w:hanging="360"/>
      </w:pPr>
      <w:rPr>
        <w:rFonts w:ascii="Times New Roman" w:hAnsi="Times New Roman" w:hint="default"/>
        <w:b/>
        <w:i w:val="0"/>
        <w:color w:val="7030A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DCE0CA6"/>
    <w:multiLevelType w:val="hybridMultilevel"/>
    <w:tmpl w:val="D61446FA"/>
    <w:lvl w:ilvl="0" w:tplc="270EA5EE">
      <w:start w:val="4"/>
      <w:numFmt w:val="decimal"/>
      <w:lvlText w:val="%1."/>
      <w:lvlJc w:val="left"/>
      <w:pPr>
        <w:ind w:left="720" w:hanging="360"/>
      </w:pPr>
      <w:rPr>
        <w:rFonts w:ascii="Times New Roman" w:hAnsi="Times New Roman" w:hint="default"/>
        <w:b/>
        <w:i w:val="0"/>
        <w:color w:val="7030A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ED1ECE"/>
    <w:multiLevelType w:val="hybridMultilevel"/>
    <w:tmpl w:val="38A8CDD4"/>
    <w:lvl w:ilvl="0" w:tplc="1D8AAF66">
      <w:start w:val="1"/>
      <w:numFmt w:val="decimal"/>
      <w:lvlText w:val="%1."/>
      <w:lvlJc w:val="left"/>
      <w:pPr>
        <w:tabs>
          <w:tab w:val="num" w:pos="624"/>
        </w:tabs>
        <w:ind w:left="624" w:hanging="454"/>
      </w:pPr>
      <w:rPr>
        <w:rFonts w:hint="default"/>
      </w:rPr>
    </w:lvl>
    <w:lvl w:ilvl="1" w:tplc="DC6C99BA">
      <w:start w:val="1"/>
      <w:numFmt w:val="decimal"/>
      <w:lvlText w:val="4.%2"/>
      <w:lvlJc w:val="left"/>
      <w:pPr>
        <w:tabs>
          <w:tab w:val="num" w:pos="1534"/>
        </w:tabs>
        <w:ind w:left="1534" w:hanging="454"/>
      </w:pPr>
      <w:rPr>
        <w:rFonts w:hint="default"/>
      </w:rPr>
    </w:lvl>
    <w:lvl w:ilvl="2" w:tplc="04100001">
      <w:start w:val="1"/>
      <w:numFmt w:val="bullet"/>
      <w:lvlText w:val=""/>
      <w:lvlJc w:val="left"/>
      <w:pPr>
        <w:tabs>
          <w:tab w:val="num" w:pos="2340"/>
        </w:tabs>
        <w:ind w:left="2340" w:hanging="360"/>
      </w:pPr>
      <w:rPr>
        <w:rFonts w:ascii="Symbol" w:hAnsi="Symbol" w:hint="default"/>
      </w:rPr>
    </w:lvl>
    <w:lvl w:ilvl="3" w:tplc="54A48778">
      <w:numFmt w:val="bullet"/>
      <w:lvlText w:val="-"/>
      <w:lvlJc w:val="left"/>
      <w:pPr>
        <w:tabs>
          <w:tab w:val="num" w:pos="2880"/>
        </w:tabs>
        <w:ind w:left="2880" w:hanging="360"/>
      </w:pPr>
      <w:rPr>
        <w:rFonts w:ascii="Times New Roman" w:eastAsia="Times New Roman" w:hAnsi="Times New Roman" w:cs="Times New Roman"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B3527BD"/>
    <w:multiLevelType w:val="hybridMultilevel"/>
    <w:tmpl w:val="695A00AE"/>
    <w:lvl w:ilvl="0" w:tplc="3A7E5418">
      <w:start w:val="5"/>
      <w:numFmt w:val="decimal"/>
      <w:lvlText w:val="%1."/>
      <w:lvlJc w:val="left"/>
      <w:pPr>
        <w:ind w:left="720" w:hanging="360"/>
      </w:pPr>
      <w:rPr>
        <w:rFonts w:ascii="Times New Roman" w:hAnsi="Times New Roman" w:hint="default"/>
        <w:b/>
        <w:i w:val="0"/>
        <w:color w:val="7030A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D9B2433"/>
    <w:multiLevelType w:val="hybridMultilevel"/>
    <w:tmpl w:val="FD682C4C"/>
    <w:lvl w:ilvl="0" w:tplc="67409ADC">
      <w:start w:val="1"/>
      <w:numFmt w:val="decimal"/>
      <w:lvlText w:val="%1."/>
      <w:lvlJc w:val="left"/>
      <w:pPr>
        <w:ind w:left="720" w:hanging="360"/>
      </w:pPr>
      <w:rPr>
        <w:rFonts w:ascii="Times New Roman" w:hAnsi="Times New Roman" w:hint="default"/>
        <w:b/>
        <w:i w:val="0"/>
        <w:color w:val="7030A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A2C7636"/>
    <w:multiLevelType w:val="singleLevel"/>
    <w:tmpl w:val="85D24BC2"/>
    <w:lvl w:ilvl="0">
      <w:numFmt w:val="bullet"/>
      <w:lvlText w:val="-"/>
      <w:lvlJc w:val="left"/>
      <w:pPr>
        <w:tabs>
          <w:tab w:val="num" w:pos="360"/>
        </w:tabs>
        <w:ind w:left="360" w:hanging="360"/>
      </w:pPr>
      <w:rPr>
        <w:rFonts w:ascii="Times New Roman" w:hAnsi="Times New Roman" w:hint="default"/>
      </w:rPr>
    </w:lvl>
  </w:abstractNum>
  <w:abstractNum w:abstractNumId="10">
    <w:nsid w:val="71150964"/>
    <w:multiLevelType w:val="hybridMultilevel"/>
    <w:tmpl w:val="D5941D1E"/>
    <w:lvl w:ilvl="0" w:tplc="0E181604">
      <w:start w:val="8"/>
      <w:numFmt w:val="decimal"/>
      <w:lvlText w:val="%1."/>
      <w:lvlJc w:val="left"/>
      <w:pPr>
        <w:ind w:left="720" w:hanging="360"/>
      </w:pPr>
      <w:rPr>
        <w:rFonts w:ascii="Times New Roman" w:hAnsi="Times New Roman" w:hint="default"/>
        <w:b/>
        <w:i w:val="0"/>
        <w:color w:val="7030A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2086204"/>
    <w:multiLevelType w:val="hybridMultilevel"/>
    <w:tmpl w:val="0AFE0CA4"/>
    <w:lvl w:ilvl="0" w:tplc="F78A3202">
      <w:start w:val="9"/>
      <w:numFmt w:val="decimal"/>
      <w:lvlText w:val="%1."/>
      <w:lvlJc w:val="left"/>
      <w:pPr>
        <w:ind w:left="720" w:hanging="360"/>
      </w:pPr>
      <w:rPr>
        <w:rFonts w:ascii="Times New Roman" w:hAnsi="Times New Roman" w:hint="default"/>
        <w:b/>
        <w:i w:val="0"/>
        <w:color w:val="7030A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2"/>
  </w:num>
  <w:num w:numId="5">
    <w:abstractNumId w:val="5"/>
  </w:num>
  <w:num w:numId="6">
    <w:abstractNumId w:val="7"/>
  </w:num>
  <w:num w:numId="7">
    <w:abstractNumId w:val="4"/>
  </w:num>
  <w:num w:numId="8">
    <w:abstractNumId w:val="0"/>
  </w:num>
  <w:num w:numId="9">
    <w:abstractNumId w:val="10"/>
  </w:num>
  <w:num w:numId="10">
    <w:abstractNumId w:val="11"/>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compat/>
  <w:rsids>
    <w:rsidRoot w:val="00AA22EF"/>
    <w:rsid w:val="007315BF"/>
    <w:rsid w:val="00AA22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2E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next w:val="Normale"/>
    <w:link w:val="CorpodeltestoCarattere"/>
    <w:semiHidden/>
    <w:rsid w:val="00AA22EF"/>
    <w:pPr>
      <w:autoSpaceDE w:val="0"/>
      <w:autoSpaceDN w:val="0"/>
      <w:adjustRightInd w:val="0"/>
    </w:pPr>
    <w:rPr>
      <w:rFonts w:eastAsia="Calibri"/>
      <w:sz w:val="24"/>
      <w:szCs w:val="24"/>
    </w:rPr>
  </w:style>
  <w:style w:type="character" w:customStyle="1" w:styleId="CorpodeltestoCarattere">
    <w:name w:val="Corpo del testo Carattere"/>
    <w:basedOn w:val="Carpredefinitoparagrafo"/>
    <w:link w:val="Corpodeltesto"/>
    <w:semiHidden/>
    <w:rsid w:val="00AA22EF"/>
    <w:rPr>
      <w:rFonts w:ascii="Times New Roman" w:eastAsia="Calibri" w:hAnsi="Times New Roman" w:cs="Times New Roman"/>
      <w:sz w:val="24"/>
      <w:szCs w:val="24"/>
      <w:lang w:eastAsia="it-IT"/>
    </w:rPr>
  </w:style>
  <w:style w:type="paragraph" w:styleId="Intestazione">
    <w:name w:val="header"/>
    <w:basedOn w:val="Normale"/>
    <w:link w:val="IntestazioneCarattere"/>
    <w:uiPriority w:val="99"/>
    <w:unhideWhenUsed/>
    <w:rsid w:val="00AA22EF"/>
    <w:pPr>
      <w:tabs>
        <w:tab w:val="center" w:pos="4819"/>
        <w:tab w:val="right" w:pos="9638"/>
      </w:tabs>
    </w:pPr>
  </w:style>
  <w:style w:type="character" w:customStyle="1" w:styleId="IntestazioneCarattere">
    <w:name w:val="Intestazione Carattere"/>
    <w:basedOn w:val="Carpredefinitoparagrafo"/>
    <w:link w:val="Intestazione"/>
    <w:uiPriority w:val="99"/>
    <w:rsid w:val="00AA22EF"/>
    <w:rPr>
      <w:rFonts w:ascii="Times New Roman" w:eastAsia="Times New Roman" w:hAnsi="Times New Roman" w:cs="Times New Roman"/>
      <w:sz w:val="20"/>
      <w:szCs w:val="20"/>
      <w:lang w:eastAsia="it-IT"/>
    </w:rPr>
  </w:style>
  <w:style w:type="paragraph" w:customStyle="1" w:styleId="R1">
    <w:name w:val="R1"/>
    <w:rsid w:val="00AA22EF"/>
    <w:pPr>
      <w:tabs>
        <w:tab w:val="left" w:pos="1152"/>
      </w:tabs>
      <w:spacing w:after="0" w:line="240" w:lineRule="exact"/>
      <w:ind w:left="1152" w:hanging="1152"/>
      <w:jc w:val="both"/>
    </w:pPr>
    <w:rPr>
      <w:rFonts w:ascii="News Serif" w:eastAsia="Times New Roman" w:hAnsi="News Serif" w:cs="Times New Roman"/>
      <w:sz w:val="24"/>
      <w:szCs w:val="20"/>
      <w:lang w:eastAsia="it-IT"/>
    </w:rPr>
  </w:style>
  <w:style w:type="paragraph" w:customStyle="1" w:styleId="P">
    <w:name w:val="P"/>
    <w:rsid w:val="00AA22EF"/>
    <w:pPr>
      <w:spacing w:after="0" w:line="240" w:lineRule="auto"/>
      <w:jc w:val="both"/>
    </w:pPr>
    <w:rPr>
      <w:rFonts w:ascii="News Serif" w:eastAsia="Times New Roman" w:hAnsi="News Serif"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2012-05-29T22:46:00Z</dcterms:created>
  <dcterms:modified xsi:type="dcterms:W3CDTF">2012-05-29T22:51:00Z</dcterms:modified>
</cp:coreProperties>
</file>