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C1" w:rsidRDefault="004E10C1" w:rsidP="004E10C1">
      <w:r>
        <w:rPr>
          <w:b/>
          <w:sz w:val="28"/>
          <w:szCs w:val="28"/>
          <w:u w:val="single" w:color="6600FF"/>
        </w:rPr>
        <w:t>TENUTA SOTTO CONTROLLO DELLE NON CONFORMITÀ.</w:t>
      </w:r>
    </w:p>
    <w:p w:rsidR="004E10C1" w:rsidRDefault="004E10C1" w:rsidP="004E10C1"/>
    <w:p w:rsidR="004E10C1" w:rsidRDefault="004E10C1" w:rsidP="004E10C1">
      <w:pPr>
        <w:numPr>
          <w:ilvl w:val="0"/>
          <w:numId w:val="6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  <w:u w:val="single" w:color="6600FF"/>
        </w:rPr>
        <w:t>SCOPO</w:t>
      </w:r>
      <w:r>
        <w:rPr>
          <w:b/>
          <w:color w:val="7030A0"/>
          <w:sz w:val="24"/>
          <w:szCs w:val="24"/>
        </w:rPr>
        <w:t>.</w:t>
      </w:r>
    </w:p>
    <w:p w:rsidR="004E10C1" w:rsidRDefault="004E10C1" w:rsidP="004E10C1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>Lo scopo di questa procedura è di assicurare la corretta gestione delle Non Conformità riguardanti tutti i servizi erogati dall’Istituto, l’andamento della vita scolastica ed il mantenimento del Sistema Qualità.</w:t>
      </w:r>
    </w:p>
    <w:p w:rsidR="004E10C1" w:rsidRDefault="004E10C1" w:rsidP="004E10C1">
      <w:pPr>
        <w:numPr>
          <w:ilvl w:val="0"/>
          <w:numId w:val="6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 w:color="6600FF"/>
        </w:rPr>
        <w:t xml:space="preserve">CAMPO </w:t>
      </w:r>
      <w:proofErr w:type="spellStart"/>
      <w:r>
        <w:rPr>
          <w:b/>
          <w:color w:val="7030A0"/>
          <w:sz w:val="24"/>
          <w:szCs w:val="24"/>
          <w:u w:val="single" w:color="6600FF"/>
        </w:rPr>
        <w:t>DI</w:t>
      </w:r>
      <w:proofErr w:type="spellEnd"/>
      <w:r>
        <w:rPr>
          <w:b/>
          <w:color w:val="7030A0"/>
          <w:sz w:val="24"/>
          <w:szCs w:val="24"/>
          <w:u w:val="single" w:color="6600FF"/>
        </w:rPr>
        <w:t xml:space="preserve"> APPLICAZIONE</w:t>
      </w:r>
    </w:p>
    <w:p w:rsidR="004E10C1" w:rsidRDefault="004E10C1" w:rsidP="004E10C1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>La presente procedura si applica a tutte le attività contemplate nel sistema qualità dell’Istituto.</w:t>
      </w:r>
    </w:p>
    <w:p w:rsidR="004E10C1" w:rsidRDefault="004E10C1" w:rsidP="004E10C1"/>
    <w:p w:rsidR="004E10C1" w:rsidRDefault="004E10C1" w:rsidP="004E10C1">
      <w:pPr>
        <w:numPr>
          <w:ilvl w:val="0"/>
          <w:numId w:val="1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 </w:t>
      </w:r>
      <w:r>
        <w:rPr>
          <w:b/>
          <w:color w:val="7030A0"/>
          <w:sz w:val="24"/>
          <w:szCs w:val="24"/>
          <w:u w:val="single" w:color="6600FF"/>
        </w:rPr>
        <w:t>RESPONSABILITÀ</w:t>
      </w:r>
      <w:r>
        <w:rPr>
          <w:b/>
          <w:color w:val="7030A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5216"/>
      </w:tblGrid>
      <w:tr w:rsidR="004E10C1" w:rsidTr="00056007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:rsidR="004E10C1" w:rsidRDefault="004E10C1" w:rsidP="00056007">
            <w:pPr>
              <w:jc w:val="both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5216" w:type="dxa"/>
          </w:tcPr>
          <w:p w:rsidR="004E10C1" w:rsidRDefault="004E10C1" w:rsidP="00056007">
            <w:pPr>
              <w:jc w:val="both"/>
              <w:rPr>
                <w:b/>
              </w:rPr>
            </w:pPr>
            <w:r>
              <w:rPr>
                <w:b/>
              </w:rPr>
              <w:t>RESPONSABILE</w:t>
            </w:r>
          </w:p>
        </w:tc>
      </w:tr>
      <w:tr w:rsidR="004E10C1" w:rsidTr="00056007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4E10C1" w:rsidRDefault="004E10C1" w:rsidP="00056007">
            <w:pPr>
              <w:pStyle w:val="Testocommen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Individuazione problema</w:t>
            </w:r>
          </w:p>
        </w:tc>
        <w:tc>
          <w:tcPr>
            <w:tcW w:w="5216" w:type="dxa"/>
            <w:vAlign w:val="center"/>
          </w:tcPr>
          <w:p w:rsidR="004E10C1" w:rsidRDefault="004E10C1" w:rsidP="00056007">
            <w:pPr>
              <w:jc w:val="both"/>
            </w:pPr>
            <w:r>
              <w:t xml:space="preserve">Tutte le funzioni interessate </w:t>
            </w:r>
          </w:p>
        </w:tc>
      </w:tr>
      <w:tr w:rsidR="004E10C1" w:rsidTr="00056007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4E10C1" w:rsidRDefault="004E10C1" w:rsidP="00056007">
            <w:pPr>
              <w:pStyle w:val="Testocommen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Trattamento Non Conformità</w:t>
            </w:r>
          </w:p>
        </w:tc>
        <w:tc>
          <w:tcPr>
            <w:tcW w:w="5216" w:type="dxa"/>
            <w:vAlign w:val="center"/>
          </w:tcPr>
          <w:p w:rsidR="004E10C1" w:rsidRDefault="004E10C1" w:rsidP="00056007">
            <w:pPr>
              <w:jc w:val="both"/>
            </w:pPr>
            <w:r>
              <w:t>RGQ e funzioni interessate</w:t>
            </w:r>
          </w:p>
        </w:tc>
      </w:tr>
      <w:tr w:rsidR="004E10C1" w:rsidTr="00056007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4E10C1" w:rsidRDefault="004E10C1" w:rsidP="00056007">
            <w:pPr>
              <w:pStyle w:val="Testocommen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Verifica Risoluzione problema </w:t>
            </w:r>
          </w:p>
        </w:tc>
        <w:tc>
          <w:tcPr>
            <w:tcW w:w="5216" w:type="dxa"/>
            <w:vAlign w:val="center"/>
          </w:tcPr>
          <w:p w:rsidR="004E10C1" w:rsidRDefault="004E10C1" w:rsidP="00056007">
            <w:pPr>
              <w:jc w:val="both"/>
            </w:pPr>
            <w:r>
              <w:t xml:space="preserve">RGQ </w:t>
            </w:r>
          </w:p>
        </w:tc>
      </w:tr>
      <w:tr w:rsidR="004E10C1" w:rsidTr="00056007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C1" w:rsidRDefault="004E10C1" w:rsidP="00056007">
            <w:pPr>
              <w:pStyle w:val="Testocommen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Raccolta e valutazione dati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C1" w:rsidRDefault="004E10C1" w:rsidP="00056007">
            <w:pPr>
              <w:jc w:val="both"/>
            </w:pPr>
            <w:r>
              <w:t>RGQ</w:t>
            </w:r>
          </w:p>
        </w:tc>
      </w:tr>
    </w:tbl>
    <w:p w:rsidR="004E10C1" w:rsidRDefault="004E10C1" w:rsidP="004E10C1">
      <w:pPr>
        <w:pStyle w:val="Intestazione"/>
        <w:tabs>
          <w:tab w:val="clear" w:pos="4819"/>
          <w:tab w:val="clear" w:pos="9638"/>
        </w:tabs>
        <w:jc w:val="both"/>
        <w:rPr>
          <w:color w:val="6600FF"/>
        </w:rPr>
      </w:pPr>
    </w:p>
    <w:p w:rsidR="004E10C1" w:rsidRDefault="004E10C1" w:rsidP="004E10C1">
      <w:pPr>
        <w:numPr>
          <w:ilvl w:val="0"/>
          <w:numId w:val="2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 </w:t>
      </w:r>
      <w:r>
        <w:rPr>
          <w:b/>
          <w:color w:val="7030A0"/>
          <w:sz w:val="24"/>
          <w:szCs w:val="24"/>
          <w:u w:val="single" w:color="6600FF"/>
        </w:rPr>
        <w:t>DESCRIZIONE DELLA ATTIVITÀ</w:t>
      </w:r>
      <w:r>
        <w:rPr>
          <w:b/>
          <w:color w:val="7030A0"/>
          <w:sz w:val="24"/>
          <w:szCs w:val="24"/>
        </w:rPr>
        <w:t>.</w:t>
      </w:r>
    </w:p>
    <w:p w:rsidR="004E10C1" w:rsidRDefault="004E10C1" w:rsidP="004E10C1">
      <w:pPr>
        <w:rPr>
          <w:b/>
          <w:u w:val="single"/>
        </w:rPr>
      </w:pPr>
      <w:r>
        <w:rPr>
          <w:b/>
          <w:u w:val="single"/>
        </w:rPr>
        <w:t xml:space="preserve">Gestione delle Non Conformità </w:t>
      </w:r>
    </w:p>
    <w:p w:rsidR="004E10C1" w:rsidRDefault="004E10C1" w:rsidP="004E10C1">
      <w:r>
        <w:t>Le Non Conformità possono avere provenienze interna e/o esterna.</w:t>
      </w:r>
    </w:p>
    <w:p w:rsidR="004E10C1" w:rsidRDefault="004E10C1" w:rsidP="004E10C1">
      <w:pPr>
        <w:jc w:val="both"/>
        <w:rPr>
          <w:b/>
          <w:u w:val="single"/>
        </w:rPr>
      </w:pPr>
    </w:p>
    <w:p w:rsidR="004E10C1" w:rsidRDefault="004E10C1" w:rsidP="004E10C1">
      <w:pPr>
        <w:jc w:val="both"/>
      </w:pPr>
      <w:r>
        <w:rPr>
          <w:b/>
          <w:u w:val="single"/>
        </w:rPr>
        <w:t>Le N.C. Interne</w:t>
      </w:r>
      <w:r>
        <w:t xml:space="preserve"> si dividono in:</w:t>
      </w:r>
    </w:p>
    <w:p w:rsidR="004E10C1" w:rsidRDefault="004E10C1" w:rsidP="004E10C1">
      <w:pPr>
        <w:numPr>
          <w:ilvl w:val="0"/>
          <w:numId w:val="7"/>
        </w:numPr>
        <w:jc w:val="both"/>
      </w:pPr>
      <w:r>
        <w:t>Non conformità di sistema:</w:t>
      </w:r>
    </w:p>
    <w:p w:rsidR="004E10C1" w:rsidRDefault="004E10C1" w:rsidP="004E10C1">
      <w:pPr>
        <w:pStyle w:val="Paragrafoelenco"/>
        <w:ind w:left="360"/>
        <w:jc w:val="both"/>
      </w:pPr>
      <w:r>
        <w:t xml:space="preserve">Le Non Conformità di Sistema scaturiscono dal non conforme adempimento del Sistema Qualità; esse  possono essere di varia natura come ad esempio utilizzo errato dei documenti, non rispetto di norme (ISO 9004, circolari ministeriali, disposizioni varie) o di procedure organizzative. </w:t>
      </w:r>
    </w:p>
    <w:p w:rsidR="004E10C1" w:rsidRDefault="004E10C1" w:rsidP="004E10C1">
      <w:pPr>
        <w:numPr>
          <w:ilvl w:val="0"/>
          <w:numId w:val="7"/>
        </w:numPr>
        <w:jc w:val="both"/>
      </w:pPr>
      <w:r>
        <w:t>Non conformità di servizio:</w:t>
      </w:r>
    </w:p>
    <w:p w:rsidR="004E10C1" w:rsidRDefault="004E10C1" w:rsidP="004E10C1">
      <w:pPr>
        <w:pStyle w:val="Paragrafoelenco"/>
        <w:numPr>
          <w:ilvl w:val="0"/>
          <w:numId w:val="7"/>
        </w:numPr>
        <w:jc w:val="both"/>
      </w:pPr>
      <w:r>
        <w:t>Per Non Conformità di Servizio si intendono quelle derivate dalla esecuzione errata di servizi che vanno a discapito della soddisfazione degli utenti. Sono, in generale,  Non Conformità relative alla esecuzione delle attività ed a problemi, anche non previsti, derivanti da tale esecuzione.</w:t>
      </w:r>
    </w:p>
    <w:p w:rsidR="004E10C1" w:rsidRDefault="004E10C1" w:rsidP="004E10C1">
      <w:pPr>
        <w:numPr>
          <w:ilvl w:val="0"/>
          <w:numId w:val="7"/>
        </w:numPr>
        <w:jc w:val="both"/>
      </w:pPr>
      <w:r>
        <w:t>Non conformità di materiali:</w:t>
      </w:r>
    </w:p>
    <w:p w:rsidR="004E10C1" w:rsidRDefault="004E10C1" w:rsidP="004E10C1">
      <w:pPr>
        <w:pStyle w:val="Corpodeltes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Non Conformità di Materiali sono quelle che si determinano quando un materiale impiegato o da consegnare all’utente non è conforme ai requisiti specificati, per motivi imputabili all’Istituto. </w:t>
      </w:r>
    </w:p>
    <w:p w:rsidR="004E10C1" w:rsidRDefault="004E10C1" w:rsidP="004E10C1">
      <w:pPr>
        <w:pStyle w:val="Corpodeltesto"/>
      </w:pPr>
    </w:p>
    <w:p w:rsidR="004E10C1" w:rsidRDefault="004E10C1" w:rsidP="004E10C1">
      <w:pPr>
        <w:jc w:val="both"/>
      </w:pPr>
      <w:r>
        <w:rPr>
          <w:b/>
          <w:u w:val="single"/>
        </w:rPr>
        <w:t>Le N.C. esterne</w:t>
      </w:r>
      <w:r>
        <w:t xml:space="preserve"> si dividono in:</w:t>
      </w:r>
    </w:p>
    <w:p w:rsidR="004E10C1" w:rsidRDefault="004E10C1" w:rsidP="004E10C1">
      <w:pPr>
        <w:numPr>
          <w:ilvl w:val="0"/>
          <w:numId w:val="7"/>
        </w:numPr>
        <w:jc w:val="both"/>
      </w:pPr>
      <w:r>
        <w:t>Non conformità di servizio e di materiali causate dai fornitori.</w:t>
      </w:r>
    </w:p>
    <w:p w:rsidR="004E10C1" w:rsidRDefault="004E10C1" w:rsidP="004E10C1">
      <w:pPr>
        <w:numPr>
          <w:ilvl w:val="0"/>
          <w:numId w:val="7"/>
        </w:numPr>
        <w:jc w:val="both"/>
      </w:pPr>
      <w:r>
        <w:t>Reclami provenienti dalle parti interessate.</w:t>
      </w:r>
    </w:p>
    <w:p w:rsidR="004E10C1" w:rsidRDefault="004E10C1" w:rsidP="004E10C1">
      <w:pPr>
        <w:jc w:val="both"/>
        <w:rPr>
          <w:sz w:val="10"/>
        </w:rPr>
      </w:pPr>
    </w:p>
    <w:p w:rsidR="004E10C1" w:rsidRDefault="004E10C1" w:rsidP="004E10C1">
      <w:pPr>
        <w:jc w:val="both"/>
      </w:pPr>
      <w:r>
        <w:t>Qualora si tratti di non conformità, interne o esterne, relative a materiali e beni fisici, le attività idonee alla risoluzione del problema possono essere:</w:t>
      </w:r>
    </w:p>
    <w:p w:rsidR="004E10C1" w:rsidRDefault="004E10C1" w:rsidP="004E10C1">
      <w:pPr>
        <w:numPr>
          <w:ilvl w:val="0"/>
          <w:numId w:val="7"/>
        </w:numPr>
        <w:jc w:val="both"/>
      </w:pPr>
      <w:r>
        <w:t>Lo scarto del prodotto</w:t>
      </w:r>
    </w:p>
    <w:p w:rsidR="004E10C1" w:rsidRDefault="004E10C1" w:rsidP="004E10C1">
      <w:pPr>
        <w:numPr>
          <w:ilvl w:val="0"/>
          <w:numId w:val="7"/>
        </w:numPr>
        <w:jc w:val="both"/>
      </w:pPr>
      <w:r>
        <w:t>Il declassamento del prodotto</w:t>
      </w:r>
    </w:p>
    <w:p w:rsidR="004E10C1" w:rsidRDefault="004E10C1" w:rsidP="004E10C1">
      <w:pPr>
        <w:numPr>
          <w:ilvl w:val="0"/>
          <w:numId w:val="7"/>
        </w:numPr>
        <w:jc w:val="both"/>
      </w:pPr>
      <w:r>
        <w:t>Il ripristino del prodotto</w:t>
      </w:r>
    </w:p>
    <w:p w:rsidR="004E10C1" w:rsidRDefault="004E10C1" w:rsidP="004E10C1">
      <w:pPr>
        <w:numPr>
          <w:ilvl w:val="0"/>
          <w:numId w:val="7"/>
        </w:numPr>
        <w:jc w:val="both"/>
      </w:pPr>
      <w:r>
        <w:t>L’utilizzo del prodotto tal quale</w:t>
      </w:r>
    </w:p>
    <w:p w:rsidR="004E10C1" w:rsidRDefault="004E10C1" w:rsidP="004E10C1">
      <w:pPr>
        <w:numPr>
          <w:ilvl w:val="0"/>
          <w:numId w:val="7"/>
        </w:numPr>
      </w:pPr>
      <w:r>
        <w:t>Restituzione del prodotto al fornitore</w:t>
      </w:r>
    </w:p>
    <w:p w:rsidR="004E10C1" w:rsidRDefault="004E10C1" w:rsidP="004E10C1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>Il trattamento del prodotto non conforme viene documentato nel modulo “Segnalazione dei problemi”.</w:t>
      </w:r>
    </w:p>
    <w:p w:rsidR="004E10C1" w:rsidRDefault="004E10C1" w:rsidP="004E10C1">
      <w:pPr>
        <w:pStyle w:val="Corpodeltesto"/>
        <w:rPr>
          <w:b/>
          <w:sz w:val="20"/>
          <w:szCs w:val="20"/>
        </w:rPr>
      </w:pPr>
    </w:p>
    <w:p w:rsidR="004E10C1" w:rsidRDefault="004E10C1" w:rsidP="004E10C1">
      <w:pPr>
        <w:pStyle w:val="Corpodeltes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Dal punto di vista operativo le attività sono condotte secondo lo schema seguente: </w:t>
      </w:r>
    </w:p>
    <w:p w:rsidR="004E10C1" w:rsidRDefault="004E10C1" w:rsidP="004E10C1">
      <w:pPr>
        <w:pStyle w:val="Corpodeltesto"/>
        <w:numPr>
          <w:ilvl w:val="0"/>
          <w:numId w:val="8"/>
        </w:numPr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Tutte le persone operanti nell’Istituto possono segnalare la presenza di un problema o di una non conformità relativamente all’andamento delle attività.</w:t>
      </w:r>
    </w:p>
    <w:p w:rsidR="004E10C1" w:rsidRDefault="004E10C1" w:rsidP="004E10C1">
      <w:pPr>
        <w:numPr>
          <w:ilvl w:val="0"/>
          <w:numId w:val="8"/>
        </w:numPr>
        <w:jc w:val="both"/>
      </w:pPr>
      <w:r>
        <w:t>La non conformità, riportata nel modulo “Segnalazione dei problemi”, deve pervenire tempestivamente al RSQ, che la valuta insieme alla persona che l’ha segnalata e che interpella, se necessario, altre funzioni dell’Istituto.</w:t>
      </w:r>
    </w:p>
    <w:p w:rsidR="004E10C1" w:rsidRDefault="004E10C1" w:rsidP="004E10C1">
      <w:pPr>
        <w:numPr>
          <w:ilvl w:val="0"/>
          <w:numId w:val="8"/>
        </w:numPr>
        <w:jc w:val="both"/>
      </w:pPr>
      <w:r>
        <w:t>Il RSQ cura, direttamente o tramite le funzioni coinvolte, la risoluzione della non conformità, ne trascrive l’esito e verifica, se necessario, l’effettiva attuazione di quanto predisposto.</w:t>
      </w:r>
    </w:p>
    <w:p w:rsidR="004E10C1" w:rsidRDefault="004E10C1" w:rsidP="004E10C1">
      <w:pPr>
        <w:jc w:val="both"/>
      </w:pPr>
    </w:p>
    <w:p w:rsidR="004E10C1" w:rsidRDefault="004E10C1" w:rsidP="004E10C1">
      <w:pPr>
        <w:jc w:val="both"/>
      </w:pPr>
      <w:r>
        <w:t>Nei casi in cui:</w:t>
      </w:r>
    </w:p>
    <w:p w:rsidR="004E10C1" w:rsidRDefault="004E10C1" w:rsidP="004E10C1">
      <w:pPr>
        <w:numPr>
          <w:ilvl w:val="0"/>
          <w:numId w:val="9"/>
        </w:numPr>
        <w:jc w:val="both"/>
      </w:pPr>
      <w:r>
        <w:t>la non conformità è particolarmente grave o comunque tale da desiderare l’assoluta certezza che essa non si verifichi più;</w:t>
      </w:r>
    </w:p>
    <w:p w:rsidR="004E10C1" w:rsidRDefault="004E10C1" w:rsidP="004E10C1">
      <w:pPr>
        <w:numPr>
          <w:ilvl w:val="0"/>
          <w:numId w:val="9"/>
        </w:numPr>
        <w:jc w:val="both"/>
      </w:pPr>
      <w:r>
        <w:t>la non conformità è ricorrente, e quindi si suppone che ci siano delle precise cause di fondo che la generano;</w:t>
      </w:r>
    </w:p>
    <w:p w:rsidR="004E10C1" w:rsidRDefault="004E10C1" w:rsidP="004E10C1">
      <w:pPr>
        <w:jc w:val="both"/>
      </w:pPr>
      <w:r>
        <w:lastRenderedPageBreak/>
        <w:t xml:space="preserve">il RGQ pianifica una </w:t>
      </w:r>
      <w:r>
        <w:rPr>
          <w:b/>
        </w:rPr>
        <w:t>azione correttiva</w:t>
      </w:r>
      <w:r>
        <w:t>, coinvolgendo, in funzione della sua portata il DS, il DSGA ed i responsabili delle funzioni interessate. L’azione correttiva è volta ad eliminare le cause delle NC ed è descritta nella Procedura AZIONI CORRETTIVE E PREVENTIVE</w:t>
      </w:r>
    </w:p>
    <w:p w:rsidR="004E10C1" w:rsidRDefault="004E10C1" w:rsidP="004E10C1"/>
    <w:p w:rsidR="004E10C1" w:rsidRDefault="004E10C1" w:rsidP="004E10C1">
      <w:pPr>
        <w:jc w:val="both"/>
      </w:pPr>
    </w:p>
    <w:p w:rsidR="004E10C1" w:rsidRDefault="004E10C1" w:rsidP="004E10C1"/>
    <w:p w:rsidR="004E10C1" w:rsidRDefault="004E10C1" w:rsidP="004E10C1">
      <w:pPr>
        <w:numPr>
          <w:ilvl w:val="0"/>
          <w:numId w:val="2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32"/>
          <w:szCs w:val="32"/>
        </w:rPr>
        <w:t xml:space="preserve"> </w:t>
      </w:r>
      <w:r>
        <w:rPr>
          <w:b/>
          <w:color w:val="7030A0"/>
          <w:sz w:val="24"/>
          <w:szCs w:val="24"/>
          <w:u w:val="single" w:color="6600FF"/>
        </w:rPr>
        <w:t xml:space="preserve">INDICATORI </w:t>
      </w:r>
      <w:proofErr w:type="spellStart"/>
      <w:r>
        <w:rPr>
          <w:b/>
          <w:color w:val="7030A0"/>
          <w:sz w:val="24"/>
          <w:szCs w:val="24"/>
          <w:u w:val="single" w:color="6600FF"/>
        </w:rPr>
        <w:t>DI</w:t>
      </w:r>
      <w:proofErr w:type="spellEnd"/>
      <w:r>
        <w:rPr>
          <w:b/>
          <w:color w:val="7030A0"/>
          <w:sz w:val="24"/>
          <w:szCs w:val="24"/>
          <w:u w:val="single" w:color="6600FF"/>
        </w:rPr>
        <w:t xml:space="preserve"> PROCESSO</w:t>
      </w:r>
      <w:r>
        <w:rPr>
          <w:b/>
          <w:color w:val="7030A0"/>
          <w:sz w:val="24"/>
          <w:szCs w:val="24"/>
        </w:rPr>
        <w:t>.</w:t>
      </w:r>
    </w:p>
    <w:p w:rsidR="004E10C1" w:rsidRDefault="004E10C1" w:rsidP="004E10C1">
      <w:pPr>
        <w:spacing w:line="360" w:lineRule="auto"/>
        <w:jc w:val="both"/>
      </w:pPr>
      <w:r>
        <w:t>Tenuta sotto controllo dei problemi per una loro tempestiva risoluzione.</w:t>
      </w:r>
    </w:p>
    <w:p w:rsidR="004E10C1" w:rsidRDefault="004E10C1" w:rsidP="004E10C1">
      <w:pPr>
        <w:numPr>
          <w:ilvl w:val="0"/>
          <w:numId w:val="2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  <w:u w:val="single" w:color="6600FF"/>
        </w:rPr>
        <w:t>RIFERIMENTI</w:t>
      </w:r>
      <w:r>
        <w:rPr>
          <w:b/>
          <w:color w:val="7030A0"/>
          <w:sz w:val="24"/>
          <w:szCs w:val="24"/>
        </w:rPr>
        <w:t>.</w:t>
      </w:r>
    </w:p>
    <w:p w:rsidR="004E10C1" w:rsidRDefault="004E10C1" w:rsidP="004E10C1">
      <w:pPr>
        <w:pStyle w:val="Corpodeltesto"/>
        <w:tabs>
          <w:tab w:val="num" w:pos="1080"/>
        </w:tabs>
        <w:autoSpaceDE/>
        <w:autoSpaceDN/>
        <w:adjustRightInd/>
        <w:ind w:left="720"/>
        <w:jc w:val="both"/>
      </w:pPr>
      <w:r>
        <w:t>Manuale della Qualità, Capitolo 8, Monitoraggio, misurazione, analisi e riesame</w:t>
      </w:r>
    </w:p>
    <w:p w:rsidR="004E10C1" w:rsidRDefault="004E10C1" w:rsidP="004E10C1">
      <w:pPr>
        <w:widowControl w:val="0"/>
        <w:ind w:left="1440"/>
        <w:jc w:val="both"/>
        <w:rPr>
          <w:color w:val="6600FF"/>
        </w:rPr>
      </w:pPr>
    </w:p>
    <w:p w:rsidR="004E10C1" w:rsidRDefault="004E10C1" w:rsidP="004E10C1">
      <w:pPr>
        <w:numPr>
          <w:ilvl w:val="0"/>
          <w:numId w:val="3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  <w:u w:val="single" w:color="6600FF"/>
        </w:rPr>
        <w:t>ARCHIVIAZIONI</w:t>
      </w:r>
      <w:r>
        <w:rPr>
          <w:b/>
          <w:color w:val="7030A0"/>
          <w:sz w:val="24"/>
          <w:szCs w:val="24"/>
        </w:rPr>
        <w:t>.</w:t>
      </w:r>
    </w:p>
    <w:p w:rsidR="004E10C1" w:rsidRDefault="004E10C1" w:rsidP="004E10C1">
      <w:pPr>
        <w:jc w:val="both"/>
      </w:pPr>
      <w:r>
        <w:t>L’archiviazione della documentazione del Riesame è a cura del RSQ che, di concerto con il DS, stabilisce di custodire una copia in cartaceo nella cassaforte dell’Ufficio del DS ed una copia in formato elettronico è custodita personalmente dal RSQ.</w:t>
      </w:r>
    </w:p>
    <w:p w:rsidR="004E10C1" w:rsidRDefault="004E10C1" w:rsidP="004E10C1">
      <w:pPr>
        <w:ind w:left="360"/>
        <w:jc w:val="both"/>
      </w:pPr>
    </w:p>
    <w:p w:rsidR="004E10C1" w:rsidRDefault="004E10C1" w:rsidP="004E10C1">
      <w:pPr>
        <w:jc w:val="both"/>
        <w:rPr>
          <w:color w:val="6600FF"/>
        </w:rPr>
      </w:pPr>
    </w:p>
    <w:p w:rsidR="004E10C1" w:rsidRDefault="004E10C1" w:rsidP="004E10C1">
      <w:pPr>
        <w:numPr>
          <w:ilvl w:val="0"/>
          <w:numId w:val="4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 w:color="6600FF"/>
        </w:rPr>
        <w:t>TERMINOLOGIA E ABBREVIAZIONI</w:t>
      </w:r>
      <w:r>
        <w:rPr>
          <w:b/>
          <w:color w:val="7030A0"/>
          <w:sz w:val="24"/>
          <w:szCs w:val="24"/>
        </w:rPr>
        <w:t>.</w:t>
      </w:r>
    </w:p>
    <w:p w:rsidR="004E10C1" w:rsidRDefault="004E10C1" w:rsidP="004E10C1">
      <w:pPr>
        <w:spacing w:line="360" w:lineRule="auto"/>
        <w:jc w:val="both"/>
      </w:pPr>
      <w:r>
        <w:t>Cfr. capitolo 3 del Manuale della Qualità</w:t>
      </w:r>
    </w:p>
    <w:p w:rsidR="004E10C1" w:rsidRDefault="004E10C1" w:rsidP="004E10C1">
      <w:pPr>
        <w:numPr>
          <w:ilvl w:val="0"/>
          <w:numId w:val="5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 w:color="6600FF"/>
        </w:rPr>
        <w:t>ALLEGATI</w:t>
      </w:r>
      <w:r>
        <w:rPr>
          <w:b/>
          <w:color w:val="7030A0"/>
          <w:sz w:val="24"/>
          <w:szCs w:val="24"/>
        </w:rPr>
        <w:t xml:space="preserve">. </w:t>
      </w:r>
    </w:p>
    <w:p w:rsidR="004E10C1" w:rsidRDefault="004E10C1" w:rsidP="004E10C1">
      <w:r>
        <w:t>ALLEGATO: Lista di Distribuzione Documenti</w:t>
      </w:r>
    </w:p>
    <w:p w:rsidR="004E10C1" w:rsidRDefault="004E10C1" w:rsidP="004E10C1">
      <w:pPr>
        <w:pStyle w:val="Intestazione"/>
        <w:tabs>
          <w:tab w:val="clear" w:pos="4819"/>
          <w:tab w:val="clear" w:pos="9638"/>
        </w:tabs>
      </w:pPr>
      <w:r>
        <w:t>Segnalazione problemi.</w:t>
      </w:r>
    </w:p>
    <w:p w:rsidR="004E10C1" w:rsidRDefault="004E10C1" w:rsidP="004E10C1">
      <w:pPr>
        <w:pStyle w:val="Intestazione"/>
        <w:tabs>
          <w:tab w:val="clear" w:pos="4819"/>
          <w:tab w:val="clear" w:pos="9638"/>
        </w:tabs>
      </w:pPr>
      <w:r>
        <w:t>.</w:t>
      </w:r>
    </w:p>
    <w:p w:rsidR="004E10C1" w:rsidRDefault="004E10C1" w:rsidP="004E10C1"/>
    <w:p w:rsidR="007315BF" w:rsidRDefault="007315BF"/>
    <w:sectPr w:rsidR="007315BF" w:rsidSect="00731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AD0"/>
    <w:multiLevelType w:val="hybridMultilevel"/>
    <w:tmpl w:val="3D3CB78C"/>
    <w:lvl w:ilvl="0" w:tplc="7CA2C05C">
      <w:start w:val="7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7E47"/>
    <w:multiLevelType w:val="hybridMultilevel"/>
    <w:tmpl w:val="83EEE7AE"/>
    <w:lvl w:ilvl="0" w:tplc="AC18C91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DA3"/>
    <w:multiLevelType w:val="hybridMultilevel"/>
    <w:tmpl w:val="EE78FDF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3840C9"/>
    <w:multiLevelType w:val="hybridMultilevel"/>
    <w:tmpl w:val="4956C1BE"/>
    <w:lvl w:ilvl="0" w:tplc="78CCC1AE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53292"/>
    <w:multiLevelType w:val="hybridMultilevel"/>
    <w:tmpl w:val="97EE20A2"/>
    <w:lvl w:ilvl="0" w:tplc="007CFF1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95F3E"/>
    <w:multiLevelType w:val="hybridMultilevel"/>
    <w:tmpl w:val="4A6452F0"/>
    <w:lvl w:ilvl="0" w:tplc="92B229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64F61023"/>
    <w:multiLevelType w:val="singleLevel"/>
    <w:tmpl w:val="85D24B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68B1165"/>
    <w:multiLevelType w:val="hybridMultilevel"/>
    <w:tmpl w:val="1280229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E613DA"/>
    <w:multiLevelType w:val="hybridMultilevel"/>
    <w:tmpl w:val="6E9CE24C"/>
    <w:lvl w:ilvl="0" w:tplc="80548C6E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4E10C1"/>
    <w:rsid w:val="004E10C1"/>
    <w:rsid w:val="0073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next w:val="Normale"/>
    <w:link w:val="CorpodeltestoCarattere"/>
    <w:semiHidden/>
    <w:rsid w:val="004E10C1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E10C1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10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0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4E10C1"/>
    <w:rPr>
      <w:rFonts w:ascii="Tahoma" w:hAnsi="Tahoma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E10C1"/>
    <w:rPr>
      <w:rFonts w:ascii="Tahoma" w:eastAsia="Times New Roman" w:hAnsi="Tahoma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4E1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2012-05-29T22:55:00Z</dcterms:created>
  <dcterms:modified xsi:type="dcterms:W3CDTF">2012-05-29T22:56:00Z</dcterms:modified>
</cp:coreProperties>
</file>