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4EE" w:rsidRDefault="00105F57" w:rsidP="00105F57">
      <w:pPr>
        <w:spacing w:after="0" w:line="360" w:lineRule="auto"/>
        <w:jc w:val="center"/>
        <w:rPr>
          <w:rFonts w:ascii="Arial" w:hAnsi="Arial"/>
          <w:spacing w:val="20"/>
          <w:sz w:val="24"/>
        </w:rPr>
      </w:pPr>
      <w:r>
        <w:rPr>
          <w:rFonts w:ascii="Arial" w:hAnsi="Arial"/>
          <w:spacing w:val="20"/>
          <w:sz w:val="24"/>
        </w:rPr>
        <w:t>INDICAZIONI PER LA PROGRAMMAZIONE ANNUALE</w:t>
      </w:r>
    </w:p>
    <w:p w:rsidR="00105F57" w:rsidRDefault="00105F57" w:rsidP="00105F57">
      <w:pPr>
        <w:spacing w:after="0" w:line="360" w:lineRule="auto"/>
        <w:jc w:val="center"/>
        <w:rPr>
          <w:rFonts w:ascii="Arial" w:hAnsi="Arial"/>
          <w:spacing w:val="20"/>
          <w:sz w:val="24"/>
        </w:rPr>
      </w:pPr>
    </w:p>
    <w:p w:rsidR="00105F57" w:rsidRDefault="00105F57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>
        <w:rPr>
          <w:rFonts w:ascii="Arial" w:hAnsi="Arial"/>
          <w:spacing w:val="20"/>
          <w:sz w:val="24"/>
        </w:rPr>
        <w:t>Materia: CHIMICA BIENNIO ITI</w:t>
      </w:r>
    </w:p>
    <w:p w:rsidR="00105F57" w:rsidRPr="00C804EE" w:rsidRDefault="00105F57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C804EE" w:rsidRDefault="00105F57" w:rsidP="00105F57">
      <w:pPr>
        <w:spacing w:after="0" w:line="360" w:lineRule="auto"/>
        <w:jc w:val="center"/>
        <w:rPr>
          <w:rFonts w:ascii="Arial" w:hAnsi="Arial"/>
          <w:spacing w:val="20"/>
          <w:sz w:val="24"/>
        </w:rPr>
      </w:pPr>
      <w:r>
        <w:rPr>
          <w:rFonts w:ascii="Arial" w:hAnsi="Arial"/>
          <w:spacing w:val="20"/>
          <w:sz w:val="24"/>
        </w:rPr>
        <w:t>L</w:t>
      </w:r>
      <w:r w:rsidR="00C804EE" w:rsidRPr="00C804EE">
        <w:rPr>
          <w:rFonts w:ascii="Arial" w:hAnsi="Arial"/>
          <w:spacing w:val="20"/>
          <w:sz w:val="24"/>
        </w:rPr>
        <w:t>a valutazione delle competenze</w:t>
      </w: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In ogni programma educativo diretto allo sviluppo di compe</w:t>
      </w:r>
      <w:r>
        <w:rPr>
          <w:rFonts w:ascii="Arial" w:hAnsi="Arial"/>
          <w:spacing w:val="20"/>
          <w:sz w:val="24"/>
        </w:rPr>
        <w:t xml:space="preserve">tenze è cruciale la scelta delle </w:t>
      </w:r>
      <w:r w:rsidRPr="00C804EE">
        <w:rPr>
          <w:rFonts w:ascii="Arial" w:hAnsi="Arial"/>
          <w:spacing w:val="20"/>
          <w:sz w:val="24"/>
        </w:rPr>
        <w:t>modalità di valutazione che i responsabili della progettazione e conduzione di tale programma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debbono fare sia per quanto riguarda le competenze iniziali, già validamente e stabilmente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 xml:space="preserve">possedute, sia per quanto concerne il costituirsi progressivo di quelle oggetto di </w:t>
      </w:r>
      <w:r>
        <w:rPr>
          <w:rFonts w:ascii="Arial" w:hAnsi="Arial"/>
          <w:spacing w:val="20"/>
          <w:sz w:val="24"/>
        </w:rPr>
        <w:t>a</w:t>
      </w:r>
      <w:r w:rsidRPr="00C804EE">
        <w:rPr>
          <w:rFonts w:ascii="Arial" w:hAnsi="Arial"/>
          <w:spacing w:val="20"/>
          <w:sz w:val="24"/>
        </w:rPr>
        <w:t>pprendimento.</w:t>
      </w: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Occorre anche aggiungere che intrinseca al processo stesso è la promozione di un'adeguata capacità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di autovalutazione del livello di competenza raggiunto. Ciò per varie ragioni: in primo luogo,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 xml:space="preserve">perché occorre sollecitare e sostenere lo sviluppo di competenze </w:t>
      </w:r>
      <w:proofErr w:type="spellStart"/>
      <w:r w:rsidRPr="00C804EE">
        <w:rPr>
          <w:rFonts w:ascii="Arial" w:hAnsi="Arial"/>
          <w:spacing w:val="20"/>
          <w:sz w:val="24"/>
        </w:rPr>
        <w:t>autoregolative</w:t>
      </w:r>
      <w:proofErr w:type="spellEnd"/>
      <w:r w:rsidRPr="00C804EE">
        <w:rPr>
          <w:rFonts w:ascii="Arial" w:hAnsi="Arial"/>
          <w:spacing w:val="20"/>
          <w:sz w:val="24"/>
        </w:rPr>
        <w:t xml:space="preserve"> del proprio</w:t>
      </w: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apprendimento; in secondo luogo, perché la constatazione dei progressi ottenuti è una delle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maggiori forze motivanti all'apprendimento.</w:t>
      </w: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Una competenza si manifesta quando uno studente è in grado di affrontare un compito o realizzare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un prodotto a lui assegnato, mettendo in gioco le sue risorse personali e quelle, se disponibili,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esterne utili o necessarie. Naturalmente la natura del compito o del prodotto caratterizza la tipologia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e il livello di competenza che si intende rilevare. Questo può essere più direttamente collegato con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uno o più insegnamenti, oppure riferirsi più direttamente a un’attività tecnica e/o professionale.</w:t>
      </w: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Comunque, esso deve poter sollecitare la valorizzazione delle conoscenze, delle abilità apprese 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delle altre caratteristiche personali in maniera non ripetitiva e banale. Il livello di complessità e di</w:t>
      </w:r>
      <w:r>
        <w:rPr>
          <w:rFonts w:ascii="Arial" w:hAnsi="Arial"/>
          <w:spacing w:val="20"/>
          <w:sz w:val="24"/>
        </w:rPr>
        <w:t xml:space="preserve"> e/o </w:t>
      </w:r>
      <w:r w:rsidRPr="00C804EE">
        <w:rPr>
          <w:rFonts w:ascii="Arial" w:hAnsi="Arial"/>
          <w:spacing w:val="20"/>
          <w:sz w:val="24"/>
        </w:rPr>
        <w:t>novità del compito proposto rispetto alla pratica già consolidata determina poi la qualità e il livello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della competenza posseduta.</w:t>
      </w: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Occorre anche aggiungere che non è possibile decidere se uno studente possieda o meno una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competenza sulla base di una sola prestazione. Per poterne cogliere la presenza, non solo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genericamente, bensì anche specificatamente e qualitativamente, si deve poter disporre di una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 xml:space="preserve">famiglia o </w:t>
      </w:r>
      <w:r w:rsidRPr="00C804EE">
        <w:rPr>
          <w:rFonts w:ascii="Arial" w:hAnsi="Arial"/>
          <w:spacing w:val="20"/>
          <w:sz w:val="24"/>
        </w:rPr>
        <w:lastRenderedPageBreak/>
        <w:t>insieme di sue manifestazioni o prestazioni particolari. Queste assumono il ruolo di base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informativa e documentaria utile a ipotizzarne l’esistenza e il livello raggiunto. Infatti, secondo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molti studiosi, una competenza effettivamente posseduta non è direttamente rilevabile, bensì è solo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inferibile a partire dalle sue manifestazioni. Di qui l’importanza di costruire un repertorio di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strumenti e metodologie di valutazione, che tengano conto di una pluralità di fonti informative e di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strumenti rilevativi.</w:t>
      </w: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È inoltre opportuno ricordare che in un processo valutativo un conto è la raccolta di elementi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informativi, di dati, relativi alle manifestazioni di competenza, un altro conto è la loro lettura 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interpretazione al fine di elaborare un giudizio comprensivo. Ambedue gli aspetti del processo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valutativo esigono particolare attenzione. Quanto alla raccolta di informazioni, occorre che queste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siano pertinenti (cioè si riferiscano effettivamente a ciò che si deve valutare) e affidabili (cioè degne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di fiducia, in quanto non distorte o mal raccolte). Ma la loro lettura, interpretazione e valutazione,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esigono che preventivamente siano stati definiti i criteri in base ai quali ciò viene fatto, deve cioè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essere indicato a che cosa si presta attenzione e si attribuisce valore e seguire effettivamente 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validamente in tale apprezzamento i criteri determinati.</w:t>
      </w:r>
    </w:p>
    <w:p w:rsidR="001C163D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L’elaborazione di un giudizio che tenga conto dell’insieme delle manifestazioni di competenza,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anche da un punto di vista evolutivo, non può basarsi su calcoli di tipo statistico, alla ricerca di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medie: assume invece il carattere di un accertamento di presenza e di livello, che deve essere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sostenuto da elementi di prova (le informazioni raccolte) e da consenso (da parte di altri). Si tratta,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infatti, di un giudizio che risulti il più possibile degno di fiducia, sia per la metodologia valutativa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adottata, sia per le qualità personali e professionali dei valutatori.</w:t>
      </w:r>
    </w:p>
    <w:p w:rsidR="00122233" w:rsidRDefault="00122233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C804EE" w:rsidRDefault="00122233" w:rsidP="00122233">
      <w:pPr>
        <w:spacing w:after="0" w:line="360" w:lineRule="auto"/>
        <w:jc w:val="center"/>
        <w:rPr>
          <w:rFonts w:ascii="Arial" w:hAnsi="Arial"/>
          <w:spacing w:val="20"/>
          <w:sz w:val="24"/>
        </w:rPr>
      </w:pPr>
      <w:r>
        <w:rPr>
          <w:rFonts w:ascii="Arial" w:hAnsi="Arial"/>
          <w:spacing w:val="20"/>
          <w:sz w:val="24"/>
        </w:rPr>
        <w:t>F</w:t>
      </w:r>
      <w:r w:rsidR="00C804EE" w:rsidRPr="00C804EE">
        <w:rPr>
          <w:rFonts w:ascii="Arial" w:hAnsi="Arial"/>
          <w:spacing w:val="20"/>
          <w:sz w:val="24"/>
        </w:rPr>
        <w:t xml:space="preserve">onti informative su cui </w:t>
      </w:r>
      <w:r>
        <w:rPr>
          <w:rFonts w:ascii="Arial" w:hAnsi="Arial"/>
          <w:spacing w:val="20"/>
          <w:sz w:val="24"/>
        </w:rPr>
        <w:t>valutare le competenze</w:t>
      </w: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Per quanto riguarda, in generale, le fonti informative sulla base delle quali esprimere un giudizio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di competenza, possono essere classificate secondo tre grandi ambiti specifici: quello relativo ai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risultati ottenuti nello svolgimento di un compito o nella realizzazione del prodotto; quello relativo</w:t>
      </w:r>
      <w:r w:rsidR="00122233"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lastRenderedPageBreak/>
        <w:t>a come lo studente è giunto a conseguire tali risultati; quello relativo alla percezione che lo studente</w:t>
      </w:r>
      <w:r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ha del suo lavoro.</w:t>
      </w:r>
    </w:p>
    <w:p w:rsidR="00C804EE" w:rsidRPr="00122233" w:rsidRDefault="00C804EE" w:rsidP="00122233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122233">
        <w:rPr>
          <w:rFonts w:ascii="Arial" w:hAnsi="Arial"/>
          <w:spacing w:val="20"/>
          <w:sz w:val="24"/>
        </w:rPr>
        <w:t>Il primo ambito riguarda i compiti che devono essere svolti dallo studente e/o i prodotti che questi deve realizzare. Essi devono esigere la messa in moto non solo delle conoscenze delle abilità possedute, ma anche una loro valorizzazione in contesti e ambiti di riferimento moderatamente diversi da quelli ormai già resi famigliari dalla pratica didattica. Occorre che lo studente evidenzi la capacità di sapersi muovere in maniera sufficientemente agevole e valida al di fuori dei confini della ripetizione e della familiarità, individuando in primo luogo proprio le esigenze di adattamento e di flessibilità che la situazione proposta implica una previa definizione esplicita di criteri di qualità favorisce la valutazione dei risultati ottenuti dai singoli studenti.</w:t>
      </w:r>
    </w:p>
    <w:p w:rsidR="00C804EE" w:rsidRPr="00122233" w:rsidRDefault="00C804EE" w:rsidP="00122233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122233">
        <w:rPr>
          <w:rFonts w:ascii="Arial" w:hAnsi="Arial"/>
          <w:spacing w:val="20"/>
          <w:sz w:val="24"/>
        </w:rPr>
        <w:t>Il secondo ambito implica una osservazione sistematica del comportamento dello studente mentre svolge il compito; ciò comporta una previa definizione delle categorie osservative, cioè di quegli aspetti specifici che caratterizzano una prestazione e sui quali concentrare l'attenzione per poter</w:t>
      </w:r>
      <w:r w:rsidR="00122233" w:rsidRPr="00122233">
        <w:rPr>
          <w:rFonts w:ascii="Arial" w:hAnsi="Arial"/>
          <w:spacing w:val="20"/>
          <w:sz w:val="24"/>
        </w:rPr>
        <w:t xml:space="preserve"> </w:t>
      </w:r>
      <w:r w:rsidRPr="00122233">
        <w:rPr>
          <w:rFonts w:ascii="Arial" w:hAnsi="Arial"/>
          <w:spacing w:val="20"/>
          <w:sz w:val="24"/>
        </w:rPr>
        <w:t>decidere se una certa competenza sia stata raggiunta o meno. Anche in questo caso non è possibile risalire dall'osservazione di un'unica prestazione alla constatazione di un'acquisizione effettiva di una competenza sufficientemente complessa.</w:t>
      </w:r>
    </w:p>
    <w:p w:rsidR="00C804EE" w:rsidRDefault="00C804EE" w:rsidP="00122233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122233">
        <w:rPr>
          <w:rFonts w:ascii="Arial" w:hAnsi="Arial"/>
          <w:spacing w:val="20"/>
          <w:sz w:val="24"/>
        </w:rPr>
        <w:t>Il terzo ambito evoca una qualche forma di narrazione di sé da parte dello studente, sia come descrizione del come e perché ha svolto il compito assegnato in quella maniera, sia come valutazione del risultato ottenuto. Ciò coinvolge una capacità di raccontare, giustificandole, le scelte operative fatte; di descrivere la successione delle operazioni compiute per portare a termine il compito assegnato, evidenziando, eventualmente, gli errori più frequenti e i possibili miglioramenti; di indicare la qualità non solo del prodotto, risultato del suo intervento, ma anche del processo produttivo adottato.</w:t>
      </w:r>
    </w:p>
    <w:p w:rsidR="00CB6B71" w:rsidRDefault="00CB6B71" w:rsidP="00CB6B71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CB6B71" w:rsidRDefault="00CB6B71" w:rsidP="00CB6B71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C804EE" w:rsidRDefault="00CB6B71" w:rsidP="00CB6B71">
      <w:pPr>
        <w:spacing w:after="0" w:line="360" w:lineRule="auto"/>
        <w:jc w:val="center"/>
        <w:rPr>
          <w:rFonts w:ascii="Arial" w:hAnsi="Arial"/>
          <w:spacing w:val="20"/>
          <w:sz w:val="24"/>
        </w:rPr>
      </w:pPr>
      <w:r w:rsidRPr="00CB6B71">
        <w:rPr>
          <w:rFonts w:ascii="Arial" w:hAnsi="Arial"/>
          <w:spacing w:val="20"/>
          <w:sz w:val="24"/>
        </w:rPr>
        <w:lastRenderedPageBreak/>
        <w:t>OBIETTIVI</w:t>
      </w:r>
      <w:r w:rsidR="005D26FC" w:rsidRPr="005D26FC">
        <w:rPr>
          <w:rFonts w:ascii="Arial" w:hAnsi="Arial"/>
          <w:spacing w:val="20"/>
          <w:sz w:val="24"/>
        </w:rPr>
        <w:t xml:space="preserve"> </w:t>
      </w:r>
      <w:r w:rsidR="005D26FC" w:rsidRPr="00CB6B71">
        <w:rPr>
          <w:rFonts w:ascii="Arial" w:hAnsi="Arial"/>
          <w:spacing w:val="20"/>
          <w:sz w:val="24"/>
        </w:rPr>
        <w:t>BIENNIO</w:t>
      </w:r>
    </w:p>
    <w:p w:rsidR="00C804EE" w:rsidRPr="00C804EE" w:rsidRDefault="00CB6B71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>
        <w:rPr>
          <w:rFonts w:ascii="Arial" w:hAnsi="Arial"/>
          <w:spacing w:val="20"/>
          <w:sz w:val="24"/>
        </w:rPr>
        <w:t>I</w:t>
      </w:r>
      <w:r w:rsidR="00C804EE" w:rsidRPr="00C804EE">
        <w:rPr>
          <w:rFonts w:ascii="Arial" w:hAnsi="Arial"/>
          <w:spacing w:val="20"/>
          <w:sz w:val="24"/>
        </w:rPr>
        <w:t>l</w:t>
      </w:r>
      <w:r>
        <w:rPr>
          <w:rFonts w:ascii="Arial" w:hAnsi="Arial"/>
          <w:spacing w:val="20"/>
          <w:sz w:val="24"/>
        </w:rPr>
        <w:t xml:space="preserve"> </w:t>
      </w:r>
      <w:r w:rsidR="00C804EE" w:rsidRPr="00C804EE">
        <w:rPr>
          <w:rFonts w:ascii="Arial" w:hAnsi="Arial"/>
          <w:spacing w:val="20"/>
          <w:sz w:val="24"/>
        </w:rPr>
        <w:t>docente persegue, nella propria azione didattica ed edu</w:t>
      </w:r>
      <w:r w:rsidR="005D26FC">
        <w:rPr>
          <w:rFonts w:ascii="Arial" w:hAnsi="Arial"/>
          <w:spacing w:val="20"/>
          <w:sz w:val="24"/>
        </w:rPr>
        <w:t>cativa, l’obiettivo prioritario</w:t>
      </w:r>
      <w:r>
        <w:rPr>
          <w:rFonts w:ascii="Arial" w:hAnsi="Arial"/>
          <w:spacing w:val="20"/>
          <w:sz w:val="24"/>
        </w:rPr>
        <w:t xml:space="preserve"> </w:t>
      </w:r>
      <w:r w:rsidR="00C804EE" w:rsidRPr="00C804EE">
        <w:rPr>
          <w:rFonts w:ascii="Arial" w:hAnsi="Arial"/>
          <w:spacing w:val="20"/>
          <w:sz w:val="24"/>
        </w:rPr>
        <w:t>di far acquisire allo studente le</w:t>
      </w:r>
      <w:r>
        <w:rPr>
          <w:rFonts w:ascii="Arial" w:hAnsi="Arial"/>
          <w:spacing w:val="20"/>
          <w:sz w:val="24"/>
        </w:rPr>
        <w:t xml:space="preserve"> seguenti</w:t>
      </w:r>
      <w:r w:rsidR="00C804EE" w:rsidRPr="00C804EE">
        <w:rPr>
          <w:rFonts w:ascii="Arial" w:hAnsi="Arial"/>
          <w:spacing w:val="20"/>
          <w:sz w:val="24"/>
        </w:rPr>
        <w:t xml:space="preserve"> competenze di</w:t>
      </w:r>
      <w:r>
        <w:rPr>
          <w:rFonts w:ascii="Arial" w:hAnsi="Arial"/>
          <w:spacing w:val="20"/>
          <w:sz w:val="24"/>
        </w:rPr>
        <w:t xml:space="preserve"> base</w:t>
      </w:r>
      <w:r w:rsidR="00C804EE" w:rsidRPr="00C804EE">
        <w:rPr>
          <w:rFonts w:ascii="Arial" w:hAnsi="Arial"/>
          <w:spacing w:val="20"/>
          <w:sz w:val="24"/>
        </w:rPr>
        <w:t>:</w:t>
      </w:r>
    </w:p>
    <w:p w:rsidR="00C804EE" w:rsidRPr="00CB6B71" w:rsidRDefault="00C804EE" w:rsidP="00CB6B71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B6B71">
        <w:rPr>
          <w:rFonts w:ascii="Arial" w:hAnsi="Arial"/>
          <w:spacing w:val="20"/>
          <w:sz w:val="24"/>
        </w:rPr>
        <w:t>osservare, descrivere ed analizzare fenomeni appartenenti alla realtà naturale e artificiale e riconoscere nelle varie</w:t>
      </w:r>
      <w:r w:rsidR="00CB6B71" w:rsidRPr="00CB6B71">
        <w:rPr>
          <w:rFonts w:ascii="Arial" w:hAnsi="Arial"/>
          <w:spacing w:val="20"/>
          <w:sz w:val="24"/>
        </w:rPr>
        <w:t xml:space="preserve"> </w:t>
      </w:r>
      <w:r w:rsidRPr="00CB6B71">
        <w:rPr>
          <w:rFonts w:ascii="Arial" w:hAnsi="Arial"/>
          <w:spacing w:val="20"/>
          <w:sz w:val="24"/>
        </w:rPr>
        <w:t>forme i concetti di sistema e di complessità</w:t>
      </w:r>
    </w:p>
    <w:p w:rsidR="00C804EE" w:rsidRPr="00CB6B71" w:rsidRDefault="00C804EE" w:rsidP="00CB6B71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B6B71">
        <w:rPr>
          <w:rFonts w:ascii="Arial" w:hAnsi="Arial"/>
          <w:spacing w:val="20"/>
          <w:sz w:val="24"/>
        </w:rPr>
        <w:t>analizzare qualitativamente e quantitativamente fenomeni legati alle trasformazioni di energia a partire</w:t>
      </w:r>
      <w:r w:rsidR="00CB6B71" w:rsidRPr="00CB6B71">
        <w:rPr>
          <w:rFonts w:ascii="Arial" w:hAnsi="Arial"/>
          <w:spacing w:val="20"/>
          <w:sz w:val="24"/>
        </w:rPr>
        <w:t xml:space="preserve"> </w:t>
      </w:r>
      <w:r w:rsidRPr="00CB6B71">
        <w:rPr>
          <w:rFonts w:ascii="Arial" w:hAnsi="Arial"/>
          <w:spacing w:val="20"/>
          <w:sz w:val="24"/>
        </w:rPr>
        <w:t>dall’esperienza</w:t>
      </w:r>
    </w:p>
    <w:p w:rsidR="00C804EE" w:rsidRPr="00CB6B71" w:rsidRDefault="00C804EE" w:rsidP="00CB6B71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B6B71">
        <w:rPr>
          <w:rFonts w:ascii="Arial" w:hAnsi="Arial"/>
          <w:spacing w:val="20"/>
          <w:sz w:val="24"/>
        </w:rPr>
        <w:t>essere consapevole delle potenzialità e dei limiti delle tecnologie nel contesto culturale e sociale in cui vengono</w:t>
      </w:r>
      <w:r w:rsidR="00CB6B71" w:rsidRPr="00CB6B71">
        <w:rPr>
          <w:rFonts w:ascii="Arial" w:hAnsi="Arial"/>
          <w:spacing w:val="20"/>
          <w:sz w:val="24"/>
        </w:rPr>
        <w:t xml:space="preserve"> </w:t>
      </w:r>
      <w:r w:rsidRPr="00CB6B71">
        <w:rPr>
          <w:rFonts w:ascii="Arial" w:hAnsi="Arial"/>
          <w:spacing w:val="20"/>
          <w:sz w:val="24"/>
        </w:rPr>
        <w:t>applicate</w:t>
      </w:r>
    </w:p>
    <w:p w:rsidR="00C804EE" w:rsidRPr="00C804EE" w:rsidRDefault="00CB6B71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>
        <w:rPr>
          <w:rFonts w:ascii="Arial" w:hAnsi="Arial"/>
          <w:spacing w:val="20"/>
          <w:sz w:val="24"/>
        </w:rPr>
        <w:t>P</w:t>
      </w:r>
      <w:r w:rsidR="00C804EE" w:rsidRPr="00C804EE">
        <w:rPr>
          <w:rFonts w:ascii="Arial" w:hAnsi="Arial"/>
          <w:spacing w:val="20"/>
          <w:sz w:val="24"/>
        </w:rPr>
        <w:t>er la progettazione didattica del docente in relazione alle scelte compiute nell’ambito della programmazione collegiale del</w:t>
      </w:r>
      <w:r>
        <w:rPr>
          <w:rFonts w:ascii="Arial" w:hAnsi="Arial"/>
          <w:spacing w:val="20"/>
          <w:sz w:val="24"/>
        </w:rPr>
        <w:t xml:space="preserve"> </w:t>
      </w:r>
      <w:r w:rsidR="005D26FC">
        <w:rPr>
          <w:rFonts w:ascii="Arial" w:hAnsi="Arial"/>
          <w:spacing w:val="20"/>
          <w:sz w:val="24"/>
        </w:rPr>
        <w:t>Consiglio di classe</w:t>
      </w:r>
      <w:r>
        <w:rPr>
          <w:rFonts w:ascii="Arial" w:hAnsi="Arial"/>
          <w:spacing w:val="20"/>
          <w:sz w:val="24"/>
        </w:rPr>
        <w:t xml:space="preserve"> </w:t>
      </w:r>
      <w:r w:rsidR="005D26FC">
        <w:rPr>
          <w:rFonts w:ascii="Arial" w:hAnsi="Arial"/>
          <w:spacing w:val="20"/>
          <w:sz w:val="24"/>
        </w:rPr>
        <w:t>i</w:t>
      </w:r>
      <w:r w:rsidR="00C804EE" w:rsidRPr="00C804EE">
        <w:rPr>
          <w:rFonts w:ascii="Arial" w:hAnsi="Arial"/>
          <w:spacing w:val="20"/>
          <w:sz w:val="24"/>
        </w:rPr>
        <w:t>l docente valorizza, nel percorso dello studente, l’apporto di tutte le discipline relative all’asse scientifico- tecnologico, con i loro</w:t>
      </w:r>
      <w:r>
        <w:rPr>
          <w:rFonts w:ascii="Arial" w:hAnsi="Arial"/>
          <w:spacing w:val="20"/>
          <w:sz w:val="24"/>
        </w:rPr>
        <w:t xml:space="preserve"> </w:t>
      </w:r>
      <w:r w:rsidR="00C804EE" w:rsidRPr="00C804EE">
        <w:rPr>
          <w:rFonts w:ascii="Arial" w:hAnsi="Arial"/>
          <w:spacing w:val="20"/>
          <w:sz w:val="24"/>
        </w:rPr>
        <w:t>specifici linguaggi.</w:t>
      </w:r>
    </w:p>
    <w:p w:rsid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  <w:r w:rsidRPr="00C804EE">
        <w:rPr>
          <w:rFonts w:ascii="Arial" w:hAnsi="Arial"/>
          <w:spacing w:val="20"/>
          <w:sz w:val="24"/>
        </w:rPr>
        <w:t>A tale scopo, per l’apprendimento della chimica e nella prospettiva dell’integrazione delle discipline sperimentali, organizza il</w:t>
      </w:r>
      <w:r w:rsidR="005D26FC"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 xml:space="preserve">percorso d’insegnamento-apprendimento assegnando un ruolo centrale all’attività </w:t>
      </w:r>
      <w:proofErr w:type="spellStart"/>
      <w:r w:rsidRPr="00C804EE">
        <w:rPr>
          <w:rFonts w:ascii="Arial" w:hAnsi="Arial"/>
          <w:spacing w:val="20"/>
          <w:sz w:val="24"/>
        </w:rPr>
        <w:t>laboratoriale</w:t>
      </w:r>
      <w:proofErr w:type="spellEnd"/>
      <w:r w:rsidRPr="00C804EE">
        <w:rPr>
          <w:rFonts w:ascii="Arial" w:hAnsi="Arial"/>
          <w:spacing w:val="20"/>
          <w:sz w:val="24"/>
        </w:rPr>
        <w:t>, alla riflessione su quanto</w:t>
      </w:r>
      <w:r w:rsidR="005D26FC">
        <w:rPr>
          <w:rFonts w:ascii="Arial" w:hAnsi="Arial"/>
          <w:spacing w:val="20"/>
          <w:sz w:val="24"/>
        </w:rPr>
        <w:t xml:space="preserve"> </w:t>
      </w:r>
      <w:r w:rsidRPr="00C804EE">
        <w:rPr>
          <w:rFonts w:ascii="Arial" w:hAnsi="Arial"/>
          <w:spacing w:val="20"/>
          <w:sz w:val="24"/>
        </w:rPr>
        <w:t>sperimentato, alle connessioni che si creano fra i concetti implicati..</w:t>
      </w:r>
    </w:p>
    <w:p w:rsid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5D26FC" w:rsidRDefault="005D26FC" w:rsidP="005D26FC">
      <w:pPr>
        <w:spacing w:after="0" w:line="360" w:lineRule="auto"/>
        <w:jc w:val="center"/>
        <w:rPr>
          <w:rFonts w:ascii="Arial" w:hAnsi="Arial"/>
          <w:spacing w:val="20"/>
          <w:sz w:val="24"/>
        </w:rPr>
      </w:pPr>
      <w:r>
        <w:rPr>
          <w:rFonts w:ascii="Arial" w:hAnsi="Arial"/>
          <w:spacing w:val="20"/>
          <w:sz w:val="24"/>
        </w:rPr>
        <w:t>PRIMO ANNO</w:t>
      </w:r>
    </w:p>
    <w:p w:rsidR="005D26FC" w:rsidRDefault="005D26FC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5D26FC" w:rsidTr="005D26FC">
        <w:tc>
          <w:tcPr>
            <w:tcW w:w="4889" w:type="dxa"/>
            <w:vAlign w:val="center"/>
          </w:tcPr>
          <w:p w:rsidR="005D26FC" w:rsidRDefault="005D26FC" w:rsidP="005D26FC">
            <w:pPr>
              <w:spacing w:line="360" w:lineRule="auto"/>
              <w:jc w:val="center"/>
              <w:rPr>
                <w:rFonts w:ascii="Arial" w:hAnsi="Arial"/>
                <w:spacing w:val="20"/>
                <w:sz w:val="24"/>
              </w:rPr>
            </w:pPr>
            <w:r w:rsidRPr="00C804EE">
              <w:rPr>
                <w:rFonts w:ascii="Arial" w:hAnsi="Arial"/>
                <w:spacing w:val="20"/>
                <w:sz w:val="24"/>
              </w:rPr>
              <w:t>CONOSCENZE</w:t>
            </w:r>
          </w:p>
        </w:tc>
        <w:tc>
          <w:tcPr>
            <w:tcW w:w="4889" w:type="dxa"/>
            <w:vAlign w:val="center"/>
          </w:tcPr>
          <w:p w:rsidR="005D26FC" w:rsidRDefault="005D26FC" w:rsidP="005D26FC">
            <w:pPr>
              <w:spacing w:line="360" w:lineRule="auto"/>
              <w:jc w:val="center"/>
              <w:rPr>
                <w:rFonts w:ascii="Arial" w:hAnsi="Arial"/>
                <w:spacing w:val="20"/>
                <w:sz w:val="24"/>
              </w:rPr>
            </w:pPr>
            <w:r w:rsidRPr="00105F57">
              <w:rPr>
                <w:rFonts w:ascii="Arial" w:hAnsi="Arial"/>
                <w:spacing w:val="20"/>
                <w:sz w:val="24"/>
              </w:rPr>
              <w:t>ABILITÀ</w:t>
            </w:r>
          </w:p>
        </w:tc>
      </w:tr>
      <w:tr w:rsidR="005D26FC" w:rsidTr="005D26FC">
        <w:tc>
          <w:tcPr>
            <w:tcW w:w="4889" w:type="dxa"/>
          </w:tcPr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Sistemi eterogenei ed omogenei e tecniche di separazione: filtrazione, distillazione, cristallizzazione, estrazione con solventi, cromatografia.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Le evidenze sperimentali di una sostanza pura e nozioni sulla lettura delle etichette e sulla pericolosità di elementi e composti.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lastRenderedPageBreak/>
              <w:t>Le leggi ponderali della chimica e l’ipotesi atomico – molecolare.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Il modello particellare (concetti di atomo, molecola e ioni) e le spiegazioni delle trasformazioni fisiche (passaggi di stato) e delle trasformazioni chimiche.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La quantità chimica: massa atomica, massa molecolare, mole, costante di Avogadro.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La struttura dell’atomo e il modello atomico a livelli di energia.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Il sistema periodico e le proprietà periodiche: metalli, non metalli, semimetalli.</w:t>
            </w:r>
          </w:p>
          <w:p w:rsidR="005D26FC" w:rsidRPr="005D26FC" w:rsidRDefault="005D26FC" w:rsidP="00C804EE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Cenni sui legami chimici e i legami intermolecolari.</w:t>
            </w:r>
          </w:p>
        </w:tc>
        <w:tc>
          <w:tcPr>
            <w:tcW w:w="4889" w:type="dxa"/>
          </w:tcPr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lastRenderedPageBreak/>
              <w:t>Effettuare investigazioni in scala ridotta e con materiali non nocivi, per salvaguardare la sicurezza personale e ambientale.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Utilizzare il modello cinetico – molecolare per interpretare le trasformazioni fisiche e chimiche.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 xml:space="preserve">Usare il concetto di mole come ponte tra il livello </w:t>
            </w:r>
            <w:r w:rsidRPr="005D26FC">
              <w:rPr>
                <w:rFonts w:ascii="Arial" w:hAnsi="Arial"/>
                <w:spacing w:val="20"/>
                <w:sz w:val="24"/>
              </w:rPr>
              <w:lastRenderedPageBreak/>
              <w:t>macroscopico delle sostanze ed il livello microscopico degli atomi, delle molecole e degli ioni.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Spiegare la struttura elettronica a livelli di energia dell’atomo.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Riconoscere un elemento chimico mediante il saggio alla fiamma.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 xml:space="preserve">Descrivere le principali proprietà periodiche, che confermano </w:t>
            </w:r>
            <w:proofErr w:type="spellStart"/>
            <w:r w:rsidRPr="005D26FC">
              <w:rPr>
                <w:rFonts w:ascii="Arial" w:hAnsi="Arial"/>
                <w:spacing w:val="20"/>
                <w:sz w:val="24"/>
              </w:rPr>
              <w:t>lastruttura</w:t>
            </w:r>
            <w:proofErr w:type="spellEnd"/>
            <w:r w:rsidRPr="005D26FC">
              <w:rPr>
                <w:rFonts w:ascii="Arial" w:hAnsi="Arial"/>
                <w:spacing w:val="20"/>
                <w:sz w:val="24"/>
              </w:rPr>
              <w:t xml:space="preserve"> a strati dell’atomo.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Utilizzare le principali regole di nomenclatura IUPAC.</w:t>
            </w:r>
          </w:p>
          <w:p w:rsidR="005D26FC" w:rsidRDefault="005D26FC" w:rsidP="00C804EE">
            <w:p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</w:p>
        </w:tc>
      </w:tr>
    </w:tbl>
    <w:p w:rsidR="005D26FC" w:rsidRDefault="005D26FC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C804EE" w:rsidRP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5D26FC" w:rsidRDefault="005D26FC" w:rsidP="005D26FC">
      <w:pPr>
        <w:spacing w:after="0" w:line="360" w:lineRule="auto"/>
        <w:jc w:val="center"/>
        <w:rPr>
          <w:rFonts w:ascii="Arial" w:hAnsi="Arial"/>
          <w:spacing w:val="20"/>
          <w:sz w:val="24"/>
        </w:rPr>
      </w:pPr>
      <w:r>
        <w:rPr>
          <w:rFonts w:ascii="Arial" w:hAnsi="Arial"/>
          <w:spacing w:val="20"/>
          <w:sz w:val="24"/>
        </w:rPr>
        <w:t>SECONDO ANNO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5D26FC" w:rsidTr="00572F73">
        <w:tc>
          <w:tcPr>
            <w:tcW w:w="4889" w:type="dxa"/>
            <w:vAlign w:val="center"/>
          </w:tcPr>
          <w:p w:rsidR="005D26FC" w:rsidRDefault="005D26FC" w:rsidP="00572F73">
            <w:pPr>
              <w:spacing w:line="360" w:lineRule="auto"/>
              <w:jc w:val="center"/>
              <w:rPr>
                <w:rFonts w:ascii="Arial" w:hAnsi="Arial"/>
                <w:spacing w:val="20"/>
                <w:sz w:val="24"/>
              </w:rPr>
            </w:pPr>
            <w:r w:rsidRPr="00C804EE">
              <w:rPr>
                <w:rFonts w:ascii="Arial" w:hAnsi="Arial"/>
                <w:spacing w:val="20"/>
                <w:sz w:val="24"/>
              </w:rPr>
              <w:t>CONOSCENZE</w:t>
            </w:r>
          </w:p>
        </w:tc>
        <w:tc>
          <w:tcPr>
            <w:tcW w:w="4889" w:type="dxa"/>
            <w:vAlign w:val="center"/>
          </w:tcPr>
          <w:p w:rsidR="005D26FC" w:rsidRDefault="005D26FC" w:rsidP="00572F73">
            <w:pPr>
              <w:spacing w:line="360" w:lineRule="auto"/>
              <w:jc w:val="center"/>
              <w:rPr>
                <w:rFonts w:ascii="Arial" w:hAnsi="Arial"/>
                <w:spacing w:val="20"/>
                <w:sz w:val="24"/>
              </w:rPr>
            </w:pPr>
            <w:r w:rsidRPr="00105F57">
              <w:rPr>
                <w:rFonts w:ascii="Arial" w:hAnsi="Arial"/>
                <w:spacing w:val="20"/>
                <w:sz w:val="24"/>
              </w:rPr>
              <w:t>ABILITÀ</w:t>
            </w:r>
          </w:p>
        </w:tc>
      </w:tr>
      <w:tr w:rsidR="005D26FC" w:rsidTr="00572F73">
        <w:tc>
          <w:tcPr>
            <w:tcW w:w="4889" w:type="dxa"/>
            <w:vAlign w:val="center"/>
          </w:tcPr>
          <w:p w:rsidR="005D26FC" w:rsidRPr="005D26FC" w:rsidRDefault="005D26FC" w:rsidP="005D26FC">
            <w:pPr>
              <w:pStyle w:val="Paragrafoelenc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Elementi di nomenclatura chimica e bilanciamento delle equazioni di reazione.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Le concentrazioni delle soluzioni: percento in peso, molarità.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Elementi sull’equilibrio chimico e sulla cinetica chimica.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 xml:space="preserve">Le principali teorie acido-base, il pH, gli indicatori e le reazioni </w:t>
            </w:r>
            <w:r w:rsidRPr="005D26FC">
              <w:rPr>
                <w:rFonts w:ascii="Arial" w:hAnsi="Arial"/>
                <w:spacing w:val="20"/>
                <w:sz w:val="24"/>
              </w:rPr>
              <w:lastRenderedPageBreak/>
              <w:t>acido-base.</w:t>
            </w:r>
          </w:p>
          <w:p w:rsidR="005D26FC" w:rsidRPr="00DC28B7" w:rsidRDefault="005D26FC" w:rsidP="00DC28B7">
            <w:pPr>
              <w:pStyle w:val="Paragrafoelenc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Nozioni sulle reazioni di ossido riduzione.</w:t>
            </w:r>
          </w:p>
        </w:tc>
        <w:tc>
          <w:tcPr>
            <w:tcW w:w="4889" w:type="dxa"/>
            <w:vAlign w:val="center"/>
          </w:tcPr>
          <w:p w:rsidR="005D26FC" w:rsidRPr="005D26FC" w:rsidRDefault="005D26FC" w:rsidP="005D26FC">
            <w:pPr>
              <w:pStyle w:val="Paragrafoelenco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lastRenderedPageBreak/>
              <w:t>Preparare soluzioni di data concentrazione.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Descrivere semplici sistemi chimici all’equilibrio.</w:t>
            </w:r>
          </w:p>
          <w:p w:rsidR="005D26FC" w:rsidRPr="005D26FC" w:rsidRDefault="005D26FC" w:rsidP="005D26FC">
            <w:pPr>
              <w:pStyle w:val="Paragrafoelenco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Riconoscere i fattori che influenzano la velocità di reazione.</w:t>
            </w:r>
          </w:p>
          <w:p w:rsidR="005D26FC" w:rsidRDefault="005D26FC" w:rsidP="00DC28B7">
            <w:pPr>
              <w:pStyle w:val="Paragrafoelenco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 w:rsidRPr="005D26FC">
              <w:rPr>
                <w:rFonts w:ascii="Arial" w:hAnsi="Arial"/>
                <w:spacing w:val="20"/>
                <w:sz w:val="24"/>
              </w:rPr>
              <w:t>Riconoscere sostanze acide e basiche tramite indicatori.</w:t>
            </w:r>
          </w:p>
          <w:p w:rsidR="00DC28B7" w:rsidRPr="00DC28B7" w:rsidRDefault="00DC28B7" w:rsidP="00DC28B7">
            <w:pPr>
              <w:pStyle w:val="Paragrafoelenco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/>
                <w:spacing w:val="20"/>
                <w:sz w:val="24"/>
              </w:rPr>
            </w:pPr>
            <w:r>
              <w:rPr>
                <w:rFonts w:ascii="Arial" w:hAnsi="Arial"/>
                <w:spacing w:val="20"/>
                <w:sz w:val="24"/>
              </w:rPr>
              <w:t xml:space="preserve">Bilanciare una reazione di </w:t>
            </w:r>
            <w:r>
              <w:rPr>
                <w:rFonts w:ascii="Arial" w:hAnsi="Arial"/>
                <w:spacing w:val="20"/>
                <w:sz w:val="24"/>
              </w:rPr>
              <w:lastRenderedPageBreak/>
              <w:t>ossidoriduzione</w:t>
            </w:r>
          </w:p>
        </w:tc>
      </w:tr>
    </w:tbl>
    <w:p w:rsidR="005D26FC" w:rsidRDefault="005D26FC" w:rsidP="005D26FC">
      <w:pPr>
        <w:spacing w:after="0" w:line="360" w:lineRule="auto"/>
        <w:jc w:val="center"/>
        <w:rPr>
          <w:rFonts w:ascii="Arial" w:hAnsi="Arial"/>
          <w:spacing w:val="20"/>
          <w:sz w:val="24"/>
        </w:rPr>
      </w:pPr>
    </w:p>
    <w:p w:rsid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C804EE" w:rsidRDefault="00C804EE" w:rsidP="00C804EE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105F57" w:rsidRDefault="00105F57" w:rsidP="00105F57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p w:rsidR="005D26FC" w:rsidRPr="005446AA" w:rsidRDefault="005D26FC">
      <w:pPr>
        <w:spacing w:after="0" w:line="360" w:lineRule="auto"/>
        <w:jc w:val="both"/>
        <w:rPr>
          <w:rFonts w:ascii="Arial" w:hAnsi="Arial"/>
          <w:spacing w:val="20"/>
          <w:sz w:val="24"/>
        </w:rPr>
      </w:pPr>
    </w:p>
    <w:sectPr w:rsidR="005D26FC" w:rsidRPr="005446AA" w:rsidSect="001C163D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72D" w:rsidRDefault="0007372D" w:rsidP="005D26FC">
      <w:pPr>
        <w:spacing w:after="0" w:line="240" w:lineRule="auto"/>
      </w:pPr>
      <w:r>
        <w:separator/>
      </w:r>
    </w:p>
  </w:endnote>
  <w:endnote w:type="continuationSeparator" w:id="0">
    <w:p w:rsidR="0007372D" w:rsidRDefault="0007372D" w:rsidP="005D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6516"/>
      <w:docPartObj>
        <w:docPartGallery w:val="Page Numbers (Bottom of Page)"/>
        <w:docPartUnique/>
      </w:docPartObj>
    </w:sdtPr>
    <w:sdtContent>
      <w:p w:rsidR="005D26FC" w:rsidRDefault="001205C0">
        <w:pPr>
          <w:pStyle w:val="Pidipagina"/>
          <w:jc w:val="center"/>
        </w:pPr>
        <w:r w:rsidRPr="005D26FC">
          <w:rPr>
            <w:rFonts w:ascii="Arial" w:hAnsi="Arial" w:cs="Arial"/>
            <w:sz w:val="24"/>
            <w:szCs w:val="24"/>
          </w:rPr>
          <w:fldChar w:fldCharType="begin"/>
        </w:r>
        <w:r w:rsidR="005D26FC" w:rsidRPr="005D26FC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D26FC">
          <w:rPr>
            <w:rFonts w:ascii="Arial" w:hAnsi="Arial" w:cs="Arial"/>
            <w:sz w:val="24"/>
            <w:szCs w:val="24"/>
          </w:rPr>
          <w:fldChar w:fldCharType="separate"/>
        </w:r>
        <w:r w:rsidR="00DC28B7">
          <w:rPr>
            <w:rFonts w:ascii="Arial" w:hAnsi="Arial" w:cs="Arial"/>
            <w:noProof/>
            <w:sz w:val="24"/>
            <w:szCs w:val="24"/>
          </w:rPr>
          <w:t>2</w:t>
        </w:r>
        <w:r w:rsidRPr="005D26F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5D26FC" w:rsidRDefault="005D26F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72D" w:rsidRDefault="0007372D" w:rsidP="005D26FC">
      <w:pPr>
        <w:spacing w:after="0" w:line="240" w:lineRule="auto"/>
      </w:pPr>
      <w:r>
        <w:separator/>
      </w:r>
    </w:p>
  </w:footnote>
  <w:footnote w:type="continuationSeparator" w:id="0">
    <w:p w:rsidR="0007372D" w:rsidRDefault="0007372D" w:rsidP="005D2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A369B"/>
    <w:multiLevelType w:val="hybridMultilevel"/>
    <w:tmpl w:val="4816EDA0"/>
    <w:lvl w:ilvl="0" w:tplc="1E4247A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B3016"/>
    <w:multiLevelType w:val="hybridMultilevel"/>
    <w:tmpl w:val="B4E8BFDE"/>
    <w:lvl w:ilvl="0" w:tplc="1E4247A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142C7"/>
    <w:multiLevelType w:val="hybridMultilevel"/>
    <w:tmpl w:val="38DA58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C07D1"/>
    <w:multiLevelType w:val="hybridMultilevel"/>
    <w:tmpl w:val="1DEAEA58"/>
    <w:lvl w:ilvl="0" w:tplc="1E4247A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70C46"/>
    <w:multiLevelType w:val="hybridMultilevel"/>
    <w:tmpl w:val="0B307CF8"/>
    <w:lvl w:ilvl="0" w:tplc="1E4247A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FB1121"/>
    <w:multiLevelType w:val="hybridMultilevel"/>
    <w:tmpl w:val="2A6CE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D105B"/>
    <w:multiLevelType w:val="hybridMultilevel"/>
    <w:tmpl w:val="4E3CD84A"/>
    <w:lvl w:ilvl="0" w:tplc="4ED01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724D81"/>
    <w:multiLevelType w:val="hybridMultilevel"/>
    <w:tmpl w:val="47EC84F4"/>
    <w:lvl w:ilvl="0" w:tplc="4ED01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4EE"/>
    <w:rsid w:val="0007372D"/>
    <w:rsid w:val="00105F57"/>
    <w:rsid w:val="001205C0"/>
    <w:rsid w:val="00122233"/>
    <w:rsid w:val="001C163D"/>
    <w:rsid w:val="005446AA"/>
    <w:rsid w:val="005D26FC"/>
    <w:rsid w:val="005F713D"/>
    <w:rsid w:val="00761710"/>
    <w:rsid w:val="008D747A"/>
    <w:rsid w:val="00C804EE"/>
    <w:rsid w:val="00CB6B71"/>
    <w:rsid w:val="00D74079"/>
    <w:rsid w:val="00DC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1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2233"/>
    <w:pPr>
      <w:ind w:left="720"/>
      <w:contextualSpacing/>
    </w:pPr>
  </w:style>
  <w:style w:type="table" w:styleId="Grigliatabella">
    <w:name w:val="Table Grid"/>
    <w:basedOn w:val="Tabellanormale"/>
    <w:uiPriority w:val="59"/>
    <w:rsid w:val="005D26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5D2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D26FC"/>
  </w:style>
  <w:style w:type="paragraph" w:styleId="Pidipagina">
    <w:name w:val="footer"/>
    <w:basedOn w:val="Normale"/>
    <w:link w:val="PidipaginaCarattere"/>
    <w:uiPriority w:val="99"/>
    <w:unhideWhenUsed/>
    <w:rsid w:val="005D2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2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56265-14D1-4649-95FC-8640EBCA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2012-09-30T11:31:00Z</dcterms:created>
  <dcterms:modified xsi:type="dcterms:W3CDTF">2012-09-30T11:33:00Z</dcterms:modified>
</cp:coreProperties>
</file>