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8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2"/>
        <w:gridCol w:w="3398"/>
        <w:gridCol w:w="1003"/>
        <w:gridCol w:w="1010"/>
        <w:gridCol w:w="1010"/>
        <w:gridCol w:w="1011"/>
        <w:gridCol w:w="998"/>
        <w:gridCol w:w="160"/>
        <w:gridCol w:w="580"/>
        <w:gridCol w:w="566"/>
      </w:tblGrid>
      <w:tr>
        <w:tblPrEx>
          <w:shd w:val="clear" w:color="auto" w:fill="cadfff"/>
        </w:tblPrEx>
        <w:trPr>
          <w:trHeight w:val="731" w:hRule="atLeast"/>
        </w:trPr>
        <w:tc>
          <w:tcPr>
            <w:tcW w:type="dxa" w:w="7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33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Rapporti interpersonali</w:t>
            </w:r>
            <w:r>
              <w:rPr>
                <w:rStyle w:val="Nessuno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Ruolo all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interno della classe</w:t>
            </w:r>
            <w:r>
              <w:rPr>
                <w:rStyle w:val="Nessuno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*Ruolo nell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attivit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dell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alternanza scuola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lavoro (solo triennio)</w:t>
            </w:r>
          </w:p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Disponibilit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 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alla   collaborazione con docenti e/o compagni (e/o tutor aziendale*) durante 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attivit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didattica; ruolo propositivo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596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Equilibrio nei rapporti interpersonali: ruolo costruttivo (*)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Comportamento corretto ma non costruttivo (*)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Comportamento non corretto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B</w:t>
            </w:r>
          </w:p>
        </w:tc>
        <w:tc>
          <w:tcPr>
            <w:tcW w:type="dxa" w:w="33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Violazioni del regolamento di istituto debitamente registrate. Rispetto delle strutture e degli spazi scolastici, in particolare della propria aula.</w:t>
            </w:r>
          </w:p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Nessuna violazione; corretto utilizzo delle strutture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596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Nessuna violazione, ma raro uso improprio delle strutture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606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Una o due violazioni non gravi o uso improprio delle strutture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Violazione grave o grave uso improprio delle strutture.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</w:t>
            </w:r>
          </w:p>
        </w:tc>
        <w:tc>
          <w:tcPr>
            <w:tcW w:type="dxa" w:w="33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Comportamento durante le lezioni e durante le attivit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didattiche complementari fuori dall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 (uscite, viaggi di istruzione, conferenze, spettacoli)</w:t>
            </w:r>
          </w:p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Corretto, maturo, responsabile.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Per lo pi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ù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corretto e responsabile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606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Qualche episodio di disturbo all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attivit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didattica, poco responsabile.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Frequente disturbo dell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attivit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didattica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</w:t>
            </w:r>
          </w:p>
        </w:tc>
        <w:tc>
          <w:tcPr>
            <w:tcW w:type="dxa" w:w="33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Partecipazione all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attivit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didattica ed agli interventi educativi proposti</w:t>
            </w:r>
            <w:r>
              <w:rPr>
                <w:rStyle w:val="Nessuno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Ruolo attivo di rappresentante di classe, di istituto o di Consulta</w:t>
            </w:r>
          </w:p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Partecipazione costruttiva ed interesse fattivo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606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Interesse continuo, partecipazione attenta, ma non sempre attiva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Interesse e /o partecipazione discontinui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Interesse selettivo e/o atteggiamento passivo.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7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</w:t>
            </w:r>
          </w:p>
        </w:tc>
        <w:tc>
          <w:tcPr>
            <w:tcW w:type="dxa" w:w="33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Svolgimento degli impegni scolastici. Puntualit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agli orari di lezione, presentazione giustificazioni, riconsegna verifiche, possesso del materiale occorrente, monitoraggio della frequenza alle attivit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svolte all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interno o all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esterno dell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</w:t>
            </w:r>
          </w:p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Studio/lavori svolti regolarmente e puntualmente; frequenza assidua e senza ritardi ingiustificati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73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Buon adempimento dei propri impegni; frequenza costante, qualche ritardo per le giustificazioni o nel cambio orario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Non sempre puntuale e in possesso del materiale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73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Frequenza saltuaria o ripetute assenze strategiche in occasione di verifiche e/o interrogazioni concordate con i docenti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7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F</w:t>
            </w:r>
          </w:p>
        </w:tc>
        <w:tc>
          <w:tcPr>
            <w:tcW w:type="dxa" w:w="33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Svolgimento dei compiti assegnati a casa, dello studio e dell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approfondimento personale.</w:t>
            </w:r>
          </w:p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Lavori e studio svolti regolarmente e puntualmente con personali approfondimenti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Lavori e studio svolti diligentemente e puntualmente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606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Studio e lavoro non sempre svolto in modo puntuale o diligente, mancanza del materiale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Ricorrente mancanza del materiale e mancanza di studio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5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8"/>
            <w:tcBorders>
              <w:top w:val="single" w:color="000000" w:sz="4" w:space="0" w:shadow="0" w:frame="0"/>
              <w:left w:val="nil"/>
              <w:bottom w:val="single" w:color="00000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3"/>
            <w:tcBorders>
              <w:top w:val="single" w:color="000000" w:sz="4" w:space="0" w:shadow="0" w:frame="0"/>
              <w:left w:val="nil"/>
              <w:bottom w:val="single" w:color="00000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nil"/>
              <w:bottom w:val="single" w:color="00000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nil"/>
              <w:bottom w:val="single" w:color="00000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1"/>
            <w:tcBorders>
              <w:top w:val="single" w:color="000000" w:sz="4" w:space="0" w:shadow="0" w:frame="0"/>
              <w:left w:val="nil"/>
              <w:bottom w:val="single" w:color="00000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97"/>
            <w:tcBorders>
              <w:top w:val="single" w:color="000000" w:sz="4" w:space="0" w:shadow="0" w:frame="0"/>
              <w:left w:val="nil"/>
              <w:bottom w:val="single" w:color="00000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2"/>
            <w:tcBorders>
              <w:top w:val="nil"/>
              <w:left w:val="nil"/>
              <w:bottom w:val="nil"/>
              <w:right w:val="single" w:color="000001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8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Punteggio</w:t>
            </w:r>
          </w:p>
        </w:tc>
        <w:tc>
          <w:tcPr>
            <w:tcW w:type="dxa" w:w="1003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6-12</w:t>
            </w:r>
          </w:p>
        </w:tc>
        <w:tc>
          <w:tcPr>
            <w:tcW w:type="dxa" w:w="1010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13-16</w:t>
            </w:r>
          </w:p>
        </w:tc>
        <w:tc>
          <w:tcPr>
            <w:tcW w:type="dxa" w:w="1010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17-19</w:t>
            </w:r>
          </w:p>
        </w:tc>
        <w:tc>
          <w:tcPr>
            <w:tcW w:type="dxa" w:w="1011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20-22</w:t>
            </w:r>
          </w:p>
        </w:tc>
        <w:tc>
          <w:tcPr>
            <w:tcW w:type="dxa" w:w="99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23-24</w:t>
            </w:r>
          </w:p>
        </w:tc>
        <w:tc>
          <w:tcPr>
            <w:tcW w:type="dxa" w:w="160"/>
            <w:tcBorders>
              <w:top w:val="nil"/>
              <w:left w:val="single" w:color="000001" w:sz="8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2"/>
            <w:tcBorders>
              <w:top w:val="nil"/>
              <w:left w:val="nil"/>
              <w:bottom w:val="nil"/>
              <w:right w:val="single" w:color="00000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8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Voto</w:t>
            </w:r>
          </w:p>
        </w:tc>
        <w:tc>
          <w:tcPr>
            <w:tcW w:type="dxa" w:w="1003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5/6</w:t>
            </w:r>
          </w:p>
        </w:tc>
        <w:tc>
          <w:tcPr>
            <w:tcW w:type="dxa" w:w="1010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7</w:t>
            </w:r>
          </w:p>
        </w:tc>
        <w:tc>
          <w:tcPr>
            <w:tcW w:type="dxa" w:w="1010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8</w:t>
            </w:r>
          </w:p>
        </w:tc>
        <w:tc>
          <w:tcPr>
            <w:tcW w:type="dxa" w:w="1011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9</w:t>
            </w:r>
          </w:p>
        </w:tc>
        <w:tc>
          <w:tcPr>
            <w:tcW w:type="dxa" w:w="99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spacing w:before="120" w:after="120" w:line="360" w:lineRule="auto"/>
              <w:jc w:val="center"/>
            </w:pPr>
            <w:r>
              <w:rPr>
                <w:rStyle w:val="Nessuno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  <w:tc>
          <w:tcPr>
            <w:tcW w:type="dxa" w:w="160"/>
            <w:tcBorders>
              <w:top w:val="nil"/>
              <w:left w:val="single" w:color="000001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ind w:left="108" w:hanging="108"/>
        <w:jc w:val="center"/>
      </w:pPr>
    </w:p>
    <w:p>
      <w:pPr>
        <w:pStyle w:val="Corpo"/>
        <w:widowControl w:val="0"/>
        <w:ind w:left="108" w:hanging="108"/>
        <w:jc w:val="center"/>
      </w:pPr>
    </w:p>
    <w:p>
      <w:pPr>
        <w:pStyle w:val="Corpo"/>
        <w:widowControl w:val="0"/>
        <w:ind w:left="108" w:hanging="108"/>
        <w:jc w:val="center"/>
      </w:pPr>
    </w:p>
    <w:p>
      <w:pPr>
        <w:pStyle w:val="Corpo"/>
        <w:widowControl w:val="0"/>
        <w:ind w:left="108" w:hanging="108"/>
        <w:jc w:val="center"/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Per quanto riguarda i criteri di valutazione del profitto si richiama la D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elibera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 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collegio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 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docenti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 </w:t>
      </w:r>
      <w:r>
        <w:rPr>
          <w:rFonts w:ascii="Times" w:hAnsi="Times"/>
          <w:sz w:val="24"/>
          <w:szCs w:val="24"/>
          <w:rtl w:val="0"/>
          <w:lang w:val="it-IT"/>
        </w:rPr>
        <w:t xml:space="preserve">del 12/09/201, per una conferma/approvazione.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tabs>
        <w:tab w:val="center" w:pos="4819"/>
        <w:tab w:val="right" w:pos="9612"/>
        <w:tab w:val="clear" w:pos="9020"/>
      </w:tabs>
    </w:pPr>
    <w:r>
      <w:rPr>
        <w:rStyle w:val="Nessuno"/>
      </w:rPr>
      <w:tab/>
    </w:r>
    <w:r>
      <w:rPr>
        <w:rStyle w:val="Nessuno"/>
        <w:rtl w:val="0"/>
        <w:lang w:val="it-IT"/>
      </w:rPr>
      <w:t xml:space="preserve">Criteri voto comp.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